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tabs>
          <w:tab w:val="left" w:pos="9360" w:leader="none"/>
        </w:tabs>
        <w:ind w:right="238"/>
        <w:jc w:val="both"/>
        <w:rPr>
          <w:rFonts w:eastAsia="Times New Roman" w:cs="Times New Roman"/>
          <w:b/>
        </w:rPr>
      </w:pPr>
      <w:r>
        <w:rPr>
          <w:rFonts w:eastAsia="Times New Roman" w:cs="Times New Roman"/>
          <w:sz w:val="22"/>
          <w:szCs w:val="22"/>
        </w:rPr>
        <w:t xml:space="preserve">Лот   082-0017471                                                                                 </w:t>
      </w:r>
      <w:r>
        <w:rPr>
          <w:rFonts w:eastAsia="Times New Roman" w:cs="Times New Roman"/>
          <w:b/>
        </w:rPr>
        <w:t xml:space="preserve">УТВЕРЖДАЮ:</w:t>
      </w:r>
      <w:r>
        <w:rPr>
          <w:rFonts w:eastAsia="Times New Roman" w:cs="Times New Roman"/>
          <w:b/>
        </w:rPr>
      </w:r>
      <w:r>
        <w:rPr>
          <w:rFonts w:eastAsia="Times New Roman" w:cs="Times New Roman"/>
          <w:b/>
        </w:rPr>
      </w:r>
    </w:p>
    <w:p>
      <w:pPr>
        <w:tabs>
          <w:tab w:val="left" w:pos="9360" w:leader="none"/>
        </w:tabs>
        <w:ind w:right="238" w:firstLine="400"/>
        <w:jc w:val="both"/>
        <w:rPr>
          <w:rFonts w:eastAsia="Times New Roman" w:cs="Times New Roman"/>
          <w:b/>
          <w:sz w:val="28"/>
          <w:szCs w:val="28"/>
        </w:rPr>
      </w:pPr>
      <w:r>
        <w:rPr>
          <w:rFonts w:eastAsia="Times New Roman" w:cs="Times New Roman"/>
          <w:b/>
          <w:sz w:val="28"/>
          <w:szCs w:val="28"/>
        </w:rPr>
        <w:t xml:space="preserve">                                                                                  </w:t>
      </w:r>
      <w:r>
        <w:rPr>
          <w:rFonts w:eastAsia="Times New Roman" w:cs="Times New Roman"/>
        </w:rPr>
        <w:t xml:space="preserve">Директор филиала </w:t>
      </w:r>
      <w:r>
        <w:rPr>
          <w:rFonts w:eastAsia="Times New Roman" w:cs="Times New Roman"/>
          <w:b/>
          <w:sz w:val="28"/>
          <w:szCs w:val="28"/>
        </w:rPr>
      </w:r>
      <w:r>
        <w:rPr>
          <w:rFonts w:eastAsia="Times New Roman" w:cs="Times New Roman"/>
          <w:b/>
          <w:sz w:val="28"/>
          <w:szCs w:val="28"/>
        </w:rPr>
      </w:r>
    </w:p>
    <w:p>
      <w:pPr>
        <w:tabs>
          <w:tab w:val="left" w:pos="9360" w:leader="none"/>
        </w:tabs>
        <w:ind w:right="238"/>
        <w:jc w:val="both"/>
        <w:rPr>
          <w:rFonts w:eastAsia="Times New Roman" w:cs="Times New Roman"/>
          <w:b/>
          <w:sz w:val="28"/>
          <w:szCs w:val="28"/>
        </w:rPr>
      </w:pPr>
      <w:r>
        <w:rPr>
          <w:rFonts w:eastAsia="Times New Roman" w:cs="Times New Roman"/>
          <w:sz w:val="22"/>
          <w:szCs w:val="22"/>
          <w:u w:val="single"/>
        </w:rPr>
        <w:t xml:space="preserve">Статья сметы затрат (источник</w:t>
      </w:r>
      <w:r>
        <w:rPr>
          <w:rFonts w:eastAsia="Times New Roman" w:cs="Times New Roman"/>
          <w:sz w:val="22"/>
          <w:szCs w:val="22"/>
          <w:u w:val="single"/>
        </w:rPr>
        <w:t xml:space="preserve">):</w:t>
      </w:r>
      <w:r>
        <w:rPr>
          <w:rFonts w:eastAsia="Times New Roman" w:cs="Times New Roman"/>
          <w:b/>
          <w:sz w:val="28"/>
          <w:szCs w:val="28"/>
        </w:rPr>
        <w:t xml:space="preserve">   </w:t>
      </w:r>
      <w:r>
        <w:rPr>
          <w:rFonts w:eastAsia="Times New Roman" w:cs="Times New Roman"/>
          <w:b/>
          <w:sz w:val="28"/>
          <w:szCs w:val="28"/>
        </w:rPr>
        <w:t xml:space="preserve">              </w:t>
      </w:r>
      <w:r>
        <w:rPr>
          <w:rFonts w:eastAsia="Times New Roman" w:cs="Times New Roman"/>
        </w:rPr>
        <w:t xml:space="preserve">                                Южные электрические сети-   </w:t>
      </w:r>
      <w:r>
        <w:rPr>
          <w:rFonts w:eastAsia="Times New Roman" w:cs="Times New Roman"/>
          <w:b/>
          <w:sz w:val="28"/>
          <w:szCs w:val="28"/>
        </w:rPr>
        <w:t xml:space="preserve">                                                    </w:t>
      </w:r>
      <w:r>
        <w:rPr>
          <w:rFonts w:eastAsia="Times New Roman" w:cs="Times New Roman"/>
          <w:b/>
          <w:sz w:val="28"/>
          <w:szCs w:val="28"/>
        </w:rPr>
      </w:r>
      <w:r>
        <w:rPr>
          <w:rFonts w:eastAsia="Times New Roman" w:cs="Times New Roman"/>
          <w:b/>
          <w:sz w:val="28"/>
          <w:szCs w:val="28"/>
        </w:rPr>
      </w:r>
    </w:p>
    <w:p>
      <w:pPr>
        <w:tabs>
          <w:tab w:val="center" w:pos="4558" w:leader="none"/>
        </w:tabs>
        <w:ind w:right="238"/>
        <w:rPr>
          <w:rFonts w:eastAsia="Times New Roman" w:cs="Times New Roman"/>
        </w:rPr>
      </w:pPr>
      <w:r>
        <w:rPr>
          <w:rFonts w:eastAsia="Times New Roman" w:cs="Times New Roman"/>
        </w:rPr>
        <w:t xml:space="preserve">«услуги по уборке </w:t>
      </w:r>
      <w:r>
        <w:rPr>
          <w:rFonts w:eastAsia="Times New Roman" w:cs="Times New Roman"/>
        </w:rPr>
        <w:tab/>
        <w:t xml:space="preserve">                                                                      филиала ПАО «Россети </w:t>
      </w:r>
      <w:r>
        <w:rPr>
          <w:rFonts w:eastAsia="Times New Roman" w:cs="Times New Roman"/>
        </w:rPr>
      </w:r>
      <w:r>
        <w:rPr>
          <w:rFonts w:eastAsia="Times New Roman" w:cs="Times New Roman"/>
        </w:rPr>
      </w:r>
    </w:p>
    <w:p>
      <w:pPr>
        <w:tabs>
          <w:tab w:val="left" w:pos="4418" w:leader="none"/>
          <w:tab w:val="left" w:pos="4615" w:leader="none"/>
          <w:tab w:val="left" w:pos="9360" w:leader="none"/>
        </w:tabs>
        <w:ind w:right="238"/>
        <w:jc w:val="both"/>
        <w:rPr>
          <w:rFonts w:eastAsia="Times New Roman" w:cs="Times New Roman"/>
        </w:rPr>
      </w:pPr>
      <w:r>
        <w:rPr>
          <w:rFonts w:eastAsia="Times New Roman" w:cs="Times New Roman"/>
        </w:rPr>
        <w:t xml:space="preserve">помещений и прилегающей </w:t>
      </w:r>
      <w:r>
        <w:rPr>
          <w:rFonts w:eastAsia="Times New Roman" w:cs="Times New Roman"/>
        </w:rPr>
        <w:tab/>
        <w:t xml:space="preserve">                             Московский регион»</w:t>
      </w:r>
      <w:r>
        <w:rPr>
          <w:rFonts w:eastAsia="Times New Roman" w:cs="Times New Roman"/>
        </w:rPr>
      </w:r>
      <w:r>
        <w:rPr>
          <w:rFonts w:eastAsia="Times New Roman" w:cs="Times New Roman"/>
        </w:rPr>
      </w:r>
    </w:p>
    <w:p>
      <w:pPr>
        <w:tabs>
          <w:tab w:val="center" w:pos="4558" w:leader="none"/>
        </w:tabs>
        <w:ind w:right="238"/>
        <w:rPr>
          <w:rFonts w:eastAsia="Times New Roman" w:cs="Times New Roman"/>
        </w:rPr>
      </w:pPr>
      <w:r>
        <w:rPr>
          <w:rFonts w:eastAsia="Times New Roman" w:cs="Times New Roman"/>
        </w:rPr>
        <w:t xml:space="preserve">территории», источник:                                                              </w:t>
      </w:r>
      <w:r>
        <w:rPr>
          <w:rFonts w:eastAsia="Times New Roman" w:cs="Times New Roman"/>
        </w:rPr>
      </w:r>
      <w:r>
        <w:rPr>
          <w:rFonts w:eastAsia="Times New Roman" w:cs="Times New Roman"/>
        </w:rPr>
      </w:r>
    </w:p>
    <w:p>
      <w:pPr>
        <w:tabs>
          <w:tab w:val="left" w:pos="9360" w:leader="none"/>
        </w:tabs>
        <w:ind w:right="238"/>
        <w:jc w:val="both"/>
        <w:rPr>
          <w:rFonts w:eastAsia="Times New Roman" w:cs="Times New Roman"/>
        </w:rPr>
      </w:pPr>
      <w:r>
        <w:rPr>
          <w:rFonts w:eastAsia="Times New Roman" w:cs="Times New Roman"/>
        </w:rPr>
        <w:t xml:space="preserve">(себестоимость)</w:t>
      </w:r>
      <w:r>
        <w:rPr>
          <w:rFonts w:eastAsia="Times New Roman" w:cs="Times New Roman"/>
          <w:b/>
          <w:sz w:val="28"/>
          <w:szCs w:val="28"/>
        </w:rPr>
        <w:t xml:space="preserve"> </w:t>
      </w:r>
      <w:r>
        <w:rPr>
          <w:rFonts w:eastAsia="Times New Roman" w:cs="Times New Roman"/>
          <w:b/>
        </w:rPr>
        <w:t xml:space="preserve">                       </w:t>
      </w:r>
      <w:r>
        <w:rPr>
          <w:rFonts w:eastAsia="Times New Roman" w:cs="Times New Roman"/>
        </w:rPr>
      </w:r>
      <w:r>
        <w:rPr>
          <w:rFonts w:eastAsia="Times New Roman" w:cs="Times New Roman"/>
        </w:rPr>
      </w:r>
    </w:p>
    <w:p>
      <w:pPr>
        <w:tabs>
          <w:tab w:val="left" w:pos="9360" w:leader="none"/>
        </w:tabs>
        <w:ind w:right="238"/>
        <w:jc w:val="both"/>
        <w:rPr>
          <w:rFonts w:eastAsia="Times New Roman" w:cs="Times New Roman"/>
        </w:rPr>
      </w:pPr>
      <w:r>
        <w:rPr>
          <w:rFonts w:eastAsia="Times New Roman" w:cs="Times New Roman"/>
        </w:rPr>
      </w:r>
      <w:r>
        <w:rPr>
          <w:rFonts w:eastAsia="Times New Roman" w:cs="Times New Roman"/>
        </w:rPr>
      </w:r>
      <w:r>
        <w:rPr>
          <w:rFonts w:eastAsia="Times New Roman" w:cs="Times New Roman"/>
        </w:rPr>
      </w:r>
    </w:p>
    <w:p>
      <w:pPr>
        <w:tabs>
          <w:tab w:val="left" w:pos="9360" w:leader="none"/>
        </w:tabs>
        <w:ind w:right="238"/>
        <w:jc w:val="both"/>
        <w:rPr>
          <w:rFonts w:eastAsia="Times New Roman" w:cs="Times New Roman"/>
          <w:b/>
        </w:rPr>
      </w:pPr>
      <w:r>
        <w:rPr>
          <w:rFonts w:eastAsia="Times New Roman" w:cs="Times New Roman"/>
        </w:rPr>
        <w:t xml:space="preserve">Начальник ФЭУ ЮЭС - филиала                                              ________________Н.В. Дементьев                                                        </w:t>
      </w:r>
      <w:r>
        <w:rPr>
          <w:rFonts w:eastAsia="Times New Roman" w:cs="Times New Roman"/>
          <w:b/>
        </w:rPr>
      </w:r>
      <w:r>
        <w:rPr>
          <w:rFonts w:eastAsia="Times New Roman" w:cs="Times New Roman"/>
          <w:b/>
        </w:rPr>
      </w:r>
    </w:p>
    <w:p>
      <w:pPr>
        <w:tabs>
          <w:tab w:val="left" w:pos="9360" w:leader="none"/>
        </w:tabs>
        <w:ind w:right="-1"/>
        <w:jc w:val="both"/>
        <w:rPr>
          <w:rFonts w:eastAsia="Times New Roman" w:cs="Times New Roman"/>
        </w:rPr>
      </w:pPr>
      <w:r>
        <w:rPr>
          <w:rFonts w:eastAsia="Times New Roman" w:cs="Times New Roman"/>
        </w:rPr>
        <w:t xml:space="preserve">ПАО «Россети Московский регион»-</w:t>
      </w:r>
      <w:r>
        <w:rPr>
          <w:rFonts w:eastAsia="Times New Roman" w:cs="Times New Roman"/>
        </w:rPr>
      </w:r>
      <w:r>
        <w:rPr>
          <w:rFonts w:eastAsia="Times New Roman" w:cs="Times New Roman"/>
        </w:rPr>
      </w:r>
    </w:p>
    <w:p>
      <w:pPr>
        <w:tabs>
          <w:tab w:val="left" w:pos="9360" w:leader="none"/>
        </w:tabs>
        <w:ind w:right="-1"/>
        <w:jc w:val="both"/>
        <w:rPr>
          <w:rFonts w:eastAsia="Times New Roman" w:cs="Times New Roman"/>
        </w:rPr>
      </w:pPr>
      <w:r>
        <w:rPr>
          <w:rFonts w:eastAsia="Times New Roman" w:cs="Times New Roman"/>
        </w:rPr>
        <w:t xml:space="preserve">Южные электрические сети        </w:t>
      </w:r>
      <w:r>
        <w:rPr>
          <w:rFonts w:eastAsia="Times New Roman" w:cs="Times New Roman"/>
        </w:rPr>
      </w:r>
      <w:r>
        <w:rPr>
          <w:rFonts w:eastAsia="Times New Roman" w:cs="Times New Roman"/>
        </w:rPr>
      </w:r>
    </w:p>
    <w:p>
      <w:pPr>
        <w:tabs>
          <w:tab w:val="left" w:pos="9360" w:leader="none"/>
        </w:tabs>
        <w:ind w:right="-1"/>
        <w:jc w:val="both"/>
        <w:rPr>
          <w:rFonts w:eastAsia="Times New Roman" w:cs="Times New Roman"/>
        </w:rPr>
      </w:pPr>
      <w:r>
        <w:rPr>
          <w:rFonts w:eastAsia="Times New Roman" w:cs="Times New Roman"/>
        </w:rPr>
        <w:t xml:space="preserve">                                                                                                      </w:t>
      </w:r>
      <w:r>
        <w:rPr>
          <w:rFonts w:eastAsia="Times New Roman" w:cs="Times New Roman"/>
        </w:rPr>
      </w:r>
      <w:r>
        <w:rPr>
          <w:rFonts w:eastAsia="Times New Roman" w:cs="Times New Roman"/>
        </w:rPr>
      </w:r>
    </w:p>
    <w:p>
      <w:pPr>
        <w:tabs>
          <w:tab w:val="left" w:pos="9360" w:leader="none"/>
        </w:tabs>
        <w:ind w:right="-1"/>
        <w:jc w:val="both"/>
        <w:rPr>
          <w:rFonts w:eastAsia="Times New Roman" w:cs="Times New Roman"/>
        </w:rPr>
      </w:pPr>
      <w:r>
        <w:rPr>
          <w:rFonts w:eastAsia="Times New Roman" w:cs="Times New Roman"/>
        </w:rPr>
        <w:t xml:space="preserve">__________________Г.А. Николаева                                      </w:t>
      </w:r>
      <w:r>
        <w:rPr>
          <w:rFonts w:eastAsia="Times New Roman" w:cs="Times New Roman"/>
        </w:rPr>
        <w:t xml:space="preserve">   «</w:t>
      </w:r>
      <w:r>
        <w:rPr>
          <w:rFonts w:eastAsia="Times New Roman" w:cs="Times New Roman"/>
        </w:rPr>
        <w:t xml:space="preserve">_____»___________2025 г.                                             </w:t>
      </w:r>
      <w:r>
        <w:rPr>
          <w:rFonts w:eastAsia="Times New Roman" w:cs="Times New Roman"/>
        </w:rPr>
      </w:r>
      <w:r>
        <w:rPr>
          <w:rFonts w:eastAsia="Times New Roman" w:cs="Times New Roman"/>
        </w:rPr>
      </w:r>
    </w:p>
    <w:p>
      <w:pPr>
        <w:tabs>
          <w:tab w:val="left" w:pos="9360" w:leader="none"/>
        </w:tabs>
        <w:ind w:right="238"/>
        <w:rPr>
          <w:rFonts w:eastAsia="Times New Roman" w:cs="Times New Roman"/>
        </w:rPr>
      </w:pPr>
      <w:r>
        <w:rPr>
          <w:rFonts w:eastAsia="Times New Roman" w:cs="Times New Roman"/>
        </w:rPr>
        <w:t xml:space="preserve">                                                                </w:t>
      </w:r>
      <w:r>
        <w:rPr>
          <w:rFonts w:eastAsia="Times New Roman" w:cs="Times New Roman"/>
        </w:rPr>
      </w:r>
      <w:r>
        <w:rPr>
          <w:rFonts w:eastAsia="Times New Roman" w:cs="Times New Roman"/>
        </w:rPr>
      </w:r>
    </w:p>
    <w:p>
      <w:pPr>
        <w:tabs>
          <w:tab w:val="left" w:pos="9360" w:leader="none"/>
        </w:tabs>
        <w:ind w:right="238"/>
        <w:jc w:val="both"/>
        <w:rPr>
          <w:rFonts w:eastAsia="Times New Roman" w:cs="Times New Roman"/>
        </w:rPr>
      </w:pPr>
      <w:r>
        <w:rPr>
          <w:rFonts w:eastAsia="Times New Roman" w:cs="Times New Roman"/>
        </w:rPr>
        <w:t xml:space="preserve">«_____» ___________2025г.                                                                 </w:t>
      </w:r>
      <w:r>
        <w:rPr>
          <w:rFonts w:eastAsia="Times New Roman" w:cs="Times New Roman"/>
        </w:rPr>
      </w:r>
      <w:r>
        <w:rPr>
          <w:rFonts w:eastAsia="Times New Roman" w:cs="Times New Roman"/>
        </w:rPr>
      </w:r>
    </w:p>
    <w:p>
      <w:pPr>
        <w:ind w:right="485"/>
        <w:jc w:val="center"/>
        <w:rPr>
          <w:b/>
          <w:sz w:val="26"/>
          <w:szCs w:val="26"/>
        </w:rPr>
      </w:pPr>
      <w:r>
        <w:rPr>
          <w:b/>
          <w:sz w:val="26"/>
          <w:szCs w:val="26"/>
        </w:rPr>
      </w:r>
      <w:r>
        <w:rPr>
          <w:b/>
          <w:sz w:val="26"/>
          <w:szCs w:val="26"/>
        </w:rPr>
      </w:r>
      <w:r>
        <w:rPr>
          <w:b/>
          <w:sz w:val="26"/>
          <w:szCs w:val="26"/>
        </w:rPr>
      </w:r>
    </w:p>
    <w:p>
      <w:pPr>
        <w:ind w:right="485"/>
        <w:jc w:val="center"/>
        <w:rPr>
          <w:b/>
          <w:sz w:val="26"/>
          <w:szCs w:val="26"/>
        </w:rPr>
      </w:pPr>
      <w:r>
        <w:rPr>
          <w:b/>
          <w:sz w:val="26"/>
          <w:szCs w:val="26"/>
        </w:rPr>
        <w:t xml:space="preserve">ТЕХНИЧЕСКОЕ ЗАДАНИЕ  </w:t>
      </w:r>
      <w:r>
        <w:rPr>
          <w:b/>
          <w:sz w:val="26"/>
          <w:szCs w:val="26"/>
        </w:rPr>
      </w:r>
      <w:r>
        <w:rPr>
          <w:b/>
          <w:sz w:val="26"/>
          <w:szCs w:val="26"/>
        </w:rPr>
      </w:r>
    </w:p>
    <w:p>
      <w:pPr>
        <w:ind w:right="485"/>
        <w:jc w:val="center"/>
      </w:pPr>
      <w:r>
        <w:t xml:space="preserve">на оказание услуг по уборке административных и производственных помещений и территорий к административным зданиям филиала ПАО «Россети Московский регион»-Южные электрические сети».</w:t>
      </w:r>
    </w:p>
    <w:p>
      <w:pPr>
        <w:pStyle w:val="917"/>
        <w:shd w:val="clear" w:color="auto" w:fill="ffffff"/>
        <w:ind w:firstLine="708"/>
        <w:jc w:val="both"/>
        <w:rPr>
          <w:rFonts w:ascii="Arial" w:hAnsi="Arial" w:cs="Arial"/>
          <w:color w:val="2c2d2e"/>
          <w:sz w:val="23"/>
          <w:szCs w:val="23"/>
        </w:rPr>
      </w:pPr>
      <w:r>
        <w:rPr>
          <w:iCs/>
          <w:color w:val="000000"/>
        </w:rPr>
        <w:t xml:space="preserve">Допускается оказание в текущем году услуг на сумму,</w:t>
      </w:r>
      <w:r>
        <w:rPr>
          <w:iCs/>
          <w:color w:val="000000"/>
        </w:rPr>
        <w:t xml:space="preserve"> не</w:t>
      </w:r>
      <w:r>
        <w:rPr>
          <w:iCs/>
          <w:color w:val="000000"/>
        </w:rPr>
        <w:t xml:space="preserve"> превышающую размер средств, предусмотренных разбивкой по годам, с условием сохранения общего лимита затрат и не превышения общей стоимости оказания услуг по договору.</w:t>
      </w:r>
      <w:r>
        <w:rPr>
          <w:rFonts w:ascii="Arial" w:hAnsi="Arial" w:cs="Arial"/>
          <w:color w:val="2c2d2e"/>
          <w:sz w:val="23"/>
          <w:szCs w:val="23"/>
        </w:rPr>
      </w:r>
      <w:r>
        <w:rPr>
          <w:rFonts w:ascii="Arial" w:hAnsi="Arial" w:cs="Arial"/>
          <w:color w:val="2c2d2e"/>
          <w:sz w:val="23"/>
          <w:szCs w:val="23"/>
        </w:rPr>
      </w:r>
    </w:p>
    <w:p>
      <w:pPr>
        <w:pStyle w:val="917"/>
        <w:shd w:val="clear" w:color="auto" w:fill="ffffff"/>
        <w:jc w:val="both"/>
        <w:rPr>
          <w:rFonts w:ascii="Arial" w:hAnsi="Arial" w:cs="Arial"/>
          <w:color w:val="2c2d2e"/>
          <w:sz w:val="23"/>
          <w:szCs w:val="23"/>
        </w:rPr>
      </w:pPr>
      <w:r>
        <w:rPr>
          <w:iCs/>
          <w:color w:val="000000"/>
        </w:rPr>
        <w:t xml:space="preserve">      При неполном использовании лимита денежных средств в текущем году неиспользованная сумма переходит на последующий год с сохранением ограничений по росту общего лимита затрат по соответствующему году.</w:t>
      </w:r>
      <w:r>
        <w:rPr>
          <w:rFonts w:ascii="Arial" w:hAnsi="Arial" w:cs="Arial"/>
          <w:color w:val="2c2d2e"/>
          <w:sz w:val="23"/>
          <w:szCs w:val="23"/>
        </w:rPr>
      </w:r>
      <w:r>
        <w:rPr>
          <w:rFonts w:ascii="Arial" w:hAnsi="Arial" w:cs="Arial"/>
          <w:color w:val="2c2d2e"/>
          <w:sz w:val="23"/>
          <w:szCs w:val="23"/>
        </w:rPr>
      </w:r>
    </w:p>
    <w:p>
      <w:pPr>
        <w:widowControl/>
        <w:jc w:val="center"/>
        <w:rPr>
          <w:rFonts w:eastAsia="Times New Roman" w:cs="Times New Roman"/>
        </w:rPr>
      </w:pPr>
      <w:r>
        <w:rPr>
          <w:rFonts w:eastAsia="Times New Roman" w:cs="Times New Roman"/>
          <w:color w:val="000000"/>
        </w:rPr>
        <w:t xml:space="preserve">Предельная стоимость </w:t>
      </w:r>
      <w:r>
        <w:rPr>
          <w:b/>
          <w:color w:val="000000"/>
        </w:rPr>
        <w:t xml:space="preserve">85 482 742,54</w:t>
      </w:r>
      <w:r>
        <w:rPr>
          <w:rFonts w:eastAsia="Times New Roman" w:cs="Times New Roman"/>
          <w:color w:val="000000"/>
        </w:rPr>
        <w:t xml:space="preserve"> рублей, в том числе НДС 20%</w:t>
      </w:r>
      <w:r>
        <w:rPr>
          <w:rFonts w:eastAsia="Times New Roman" w:cs="Times New Roman"/>
        </w:rPr>
      </w:r>
      <w:r>
        <w:rPr>
          <w:rFonts w:eastAsia="Times New Roman" w:cs="Times New Roman"/>
        </w:rPr>
      </w:r>
    </w:p>
    <w:p>
      <w:pPr>
        <w:widowControl/>
        <w:jc w:val="center"/>
        <w:rPr>
          <w:rFonts w:eastAsia="Times New Roman" w:cs="Times New Roman"/>
        </w:rPr>
      </w:pPr>
      <w:r>
        <w:rPr>
          <w:rFonts w:eastAsia="Times New Roman" w:cs="Times New Roman"/>
        </w:rPr>
        <w:t xml:space="preserve"> </w:t>
      </w:r>
      <w:r>
        <w:rPr>
          <w:rFonts w:eastAsia="Times New Roman" w:cs="Times New Roman"/>
        </w:rPr>
      </w:r>
      <w:r>
        <w:rPr>
          <w:rFonts w:eastAsia="Times New Roman" w:cs="Times New Roman"/>
        </w:rPr>
      </w:r>
    </w:p>
    <w:p>
      <w:pPr>
        <w:widowControl/>
        <w:jc w:val="center"/>
        <w:rPr>
          <w:rFonts w:eastAsia="Times New Roman" w:cs="Times New Roman"/>
        </w:rPr>
      </w:pPr>
      <w:r>
        <w:rPr>
          <w:rFonts w:eastAsia="Times New Roman" w:cs="Times New Roman"/>
          <w:color w:val="000000"/>
        </w:rPr>
        <w:t xml:space="preserve">Стоимость работ в 2025г.: </w:t>
      </w:r>
      <w:r>
        <w:rPr>
          <w:rFonts w:eastAsia="Times New Roman" w:cs="Times New Roman"/>
          <w:b/>
          <w:bCs/>
          <w:color w:val="000000"/>
        </w:rPr>
        <w:t xml:space="preserve">25 086 902,14</w:t>
      </w:r>
      <w:r>
        <w:rPr>
          <w:rFonts w:eastAsia="Times New Roman" w:cs="Times New Roman"/>
          <w:color w:val="000000"/>
        </w:rPr>
        <w:t xml:space="preserve"> рублей, в том числе НДС 20%</w:t>
      </w:r>
      <w:r>
        <w:rPr>
          <w:rFonts w:eastAsia="Times New Roman" w:cs="Times New Roman"/>
        </w:rPr>
      </w:r>
      <w:r>
        <w:rPr>
          <w:rFonts w:eastAsia="Times New Roman" w:cs="Times New Roman"/>
        </w:rPr>
      </w:r>
    </w:p>
    <w:p>
      <w:pPr>
        <w:tabs>
          <w:tab w:val="center" w:pos="4558" w:leader="none"/>
        </w:tabs>
        <w:ind w:right="238"/>
        <w:jc w:val="both"/>
        <w:rPr>
          <w:rFonts w:eastAsia="Times New Roman" w:cs="Times New Roman"/>
          <w:color w:val="000000"/>
        </w:rPr>
      </w:pPr>
      <w:r>
        <w:rPr>
          <w:rFonts w:eastAsia="Times New Roman" w:cs="Times New Roman"/>
          <w:color w:val="000000"/>
        </w:rPr>
        <w:t xml:space="preserve"> </w:t>
      </w:r>
      <w:r>
        <w:rPr>
          <w:rFonts w:eastAsia="Times New Roman" w:cs="Times New Roman"/>
          <w:color w:val="000000"/>
        </w:rPr>
        <w:tab/>
        <w:t xml:space="preserve">                     Стоимость работ в 2026г.: </w:t>
      </w:r>
      <w:r>
        <w:rPr>
          <w:rFonts w:eastAsia="Times New Roman" w:cs="Times New Roman"/>
          <w:b/>
          <w:bCs/>
          <w:color w:val="000000"/>
        </w:rPr>
        <w:t xml:space="preserve">43 575 846,10</w:t>
      </w:r>
      <w:r>
        <w:rPr>
          <w:rFonts w:eastAsia="Times New Roman" w:cs="Times New Roman"/>
          <w:color w:val="000000"/>
        </w:rPr>
        <w:t xml:space="preserve"> рублей, в том числе НДС 20%</w:t>
      </w:r>
      <w:r>
        <w:rPr>
          <w:rFonts w:eastAsia="Times New Roman" w:cs="Times New Roman"/>
          <w:color w:val="000000"/>
        </w:rPr>
      </w:r>
      <w:r>
        <w:rPr>
          <w:rFonts w:eastAsia="Times New Roman" w:cs="Times New Roman"/>
          <w:color w:val="000000"/>
        </w:rPr>
      </w:r>
    </w:p>
    <w:p>
      <w:pPr>
        <w:tabs>
          <w:tab w:val="center" w:pos="4558" w:leader="none"/>
        </w:tabs>
        <w:ind w:right="238"/>
        <w:jc w:val="center"/>
        <w:rPr>
          <w:rFonts w:cs="Times New Roman"/>
          <w:b/>
        </w:rPr>
      </w:pPr>
      <w:r>
        <w:rPr>
          <w:rFonts w:eastAsia="Times New Roman" w:cs="Times New Roman"/>
          <w:color w:val="000000"/>
        </w:rPr>
        <w:t xml:space="preserve">Стоимость работ в 2027г.: </w:t>
      </w:r>
      <w:r>
        <w:rPr>
          <w:rFonts w:eastAsia="Times New Roman" w:cs="Times New Roman"/>
          <w:b/>
          <w:bCs/>
          <w:color w:val="000000"/>
        </w:rPr>
        <w:t xml:space="preserve">16 819 994,30</w:t>
      </w:r>
      <w:r>
        <w:rPr>
          <w:rFonts w:eastAsia="Times New Roman" w:cs="Times New Roman"/>
          <w:color w:val="000000"/>
        </w:rPr>
        <w:t xml:space="preserve"> рублей, в том числе НДС 20%</w:t>
      </w:r>
      <w:r>
        <w:rPr>
          <w:rFonts w:cs="Times New Roman"/>
          <w:b/>
        </w:rPr>
      </w:r>
      <w:r>
        <w:rPr>
          <w:rFonts w:cs="Times New Roman"/>
          <w:b/>
        </w:rPr>
      </w:r>
    </w:p>
    <w:p>
      <w:pPr>
        <w:widowControl/>
        <w:jc w:val="center"/>
        <w:rPr>
          <w:rFonts w:eastAsia="Times New Roman" w:cs="Times New Roman"/>
        </w:rPr>
      </w:pPr>
      <w:r>
        <w:rPr>
          <w:rFonts w:eastAsia="Times New Roman" w:cs="Times New Roman"/>
        </w:rPr>
      </w:r>
      <w:r>
        <w:rPr>
          <w:rFonts w:eastAsia="Times New Roman" w:cs="Times New Roman"/>
        </w:rPr>
      </w:r>
      <w:r>
        <w:rPr>
          <w:rFonts w:eastAsia="Times New Roman" w:cs="Times New Roman"/>
        </w:rPr>
      </w:r>
    </w:p>
    <w:p>
      <w:pPr>
        <w:tabs>
          <w:tab w:val="center" w:pos="4558" w:leader="none"/>
        </w:tabs>
        <w:ind w:right="238"/>
        <w:jc w:val="both"/>
      </w:pPr>
      <w:r>
        <w:t xml:space="preserve">                            </w:t>
      </w:r>
      <w:r>
        <w:rPr>
          <w:color w:val="000000"/>
        </w:rPr>
        <w:t xml:space="preserve">Цена неизменная. При участии в закупочной процедуре необходимо применять единый коэффициент снижения к единичной стоимости ко всем видам услуг.</w:t>
      </w:r>
    </w:p>
    <w:p>
      <w:pPr>
        <w:ind w:right="238"/>
        <w:jc w:val="both"/>
        <w:rPr>
          <w:rFonts w:eastAsia="Times New Roman" w:cs="Times New Roman"/>
          <w:color w:val="000000"/>
        </w:rPr>
      </w:pPr>
      <w:r>
        <w:rPr>
          <w:rFonts w:eastAsia="Times New Roman" w:cs="Times New Roman"/>
          <w:color w:val="000000"/>
        </w:rPr>
        <w:tab/>
        <w:t xml:space="preserve">Предметом проведения конкурентной процедуры по выбору победите</w:t>
      </w:r>
      <w:r>
        <w:rPr>
          <w:rFonts w:eastAsia="Times New Roman" w:cs="Times New Roman"/>
          <w:color w:val="000000"/>
        </w:rPr>
        <w:t xml:space="preserve">ля являются стоимости единичных видов услуг уборке помещений и прилегающих территорий ЮЭС, указанные в Приложениях № 2 к Техническому заданию по каждому виду услуг. Начальная (предельная) единичная стоимость услуг рассчитана без учета стоимости материалов.</w:t>
      </w:r>
      <w:r>
        <w:rPr>
          <w:rFonts w:eastAsia="Times New Roman" w:cs="Times New Roman"/>
          <w:color w:val="000000"/>
        </w:rPr>
      </w:r>
      <w:r>
        <w:rPr>
          <w:rFonts w:eastAsia="Times New Roman" w:cs="Times New Roman"/>
          <w:color w:val="000000"/>
        </w:rPr>
      </w:r>
    </w:p>
    <w:p>
      <w:pPr>
        <w:tabs>
          <w:tab w:val="center" w:pos="0" w:leader="none"/>
        </w:tabs>
        <w:ind w:right="238"/>
        <w:jc w:val="both"/>
        <w:rPr>
          <w:rFonts w:eastAsia="Times New Roman" w:cs="Times New Roman"/>
          <w:color w:val="000000"/>
        </w:rPr>
      </w:pPr>
      <w:r>
        <w:rPr>
          <w:rFonts w:eastAsia="Times New Roman" w:cs="Times New Roman"/>
          <w:color w:val="000000"/>
        </w:rPr>
        <w:tab/>
        <w:t xml:space="preserve">Общая стоимость услуг не является предметом конкурентной процедуры и формируется в пределах срока оказания услуг и общей стоимости договора, в зависимости от объемов и их фактического выполнения. </w:t>
      </w:r>
      <w:r>
        <w:rPr>
          <w:rFonts w:eastAsia="Times New Roman" w:cs="Times New Roman"/>
          <w:color w:val="000000"/>
        </w:rPr>
      </w:r>
      <w:r>
        <w:rPr>
          <w:rFonts w:eastAsia="Times New Roman" w:cs="Times New Roman"/>
          <w:color w:val="000000"/>
        </w:rPr>
      </w:r>
    </w:p>
    <w:p>
      <w:pPr>
        <w:tabs>
          <w:tab w:val="center" w:pos="4558" w:leader="none"/>
        </w:tabs>
        <w:ind w:right="238"/>
        <w:jc w:val="both"/>
        <w:rPr>
          <w:rFonts w:eastAsia="Times New Roman" w:cs="Times New Roman"/>
          <w:color w:val="000000"/>
        </w:rPr>
      </w:pPr>
      <w:r>
        <w:rPr>
          <w:rFonts w:eastAsia="Times New Roman" w:cs="Times New Roman"/>
          <w:color w:val="000000"/>
        </w:rPr>
      </w:r>
      <w:r>
        <w:rPr>
          <w:rFonts w:eastAsia="Times New Roman" w:cs="Times New Roman"/>
          <w:color w:val="000000"/>
        </w:rPr>
      </w:r>
      <w:r>
        <w:rPr>
          <w:rFonts w:eastAsia="Times New Roman" w:cs="Times New Roman"/>
          <w:color w:val="000000"/>
        </w:rPr>
      </w:r>
    </w:p>
    <w:p>
      <w:pPr>
        <w:tabs>
          <w:tab w:val="center" w:pos="4558" w:leader="none"/>
        </w:tabs>
        <w:ind w:right="238"/>
        <w:jc w:val="both"/>
      </w:pPr>
      <w:r>
        <w:rPr>
          <w:rFonts w:eastAsia="Times New Roman" w:cs="Times New Roman"/>
          <w:color w:val="000000"/>
        </w:rPr>
        <w:t xml:space="preserve">Авансирование не предусмотрено.                                                                                                                            </w:t>
      </w:r>
    </w:p>
    <w:p>
      <w:pPr>
        <w:tabs>
          <w:tab w:val="center" w:pos="4558" w:leader="none"/>
        </w:tabs>
        <w:ind w:right="238"/>
        <w:jc w:val="both"/>
      </w:pPr>
    </w:p>
    <w:p>
      <w:pPr>
        <w:pStyle w:val="891"/>
        <w:numPr>
          <w:numId w:val="8"/>
          <w:ilvl w:val="0"/>
        </w:numPr>
        <w:rPr>
          <w:rFonts w:ascii="Times New Roman" w:hAnsi="Times New Roman"/>
          <w:b/>
          <w:sz w:val="24"/>
          <w:szCs w:val="24"/>
        </w:rPr>
      </w:pPr>
      <w:r>
        <w:rPr>
          <w:rFonts w:ascii="Times New Roman" w:hAnsi="Times New Roman"/>
          <w:b/>
          <w:sz w:val="24"/>
          <w:szCs w:val="24"/>
        </w:rPr>
        <w:t xml:space="preserve">Общие положения</w:t>
      </w:r>
      <w:r>
        <w:rPr>
          <w:rFonts w:ascii="Times New Roman" w:hAnsi="Times New Roman"/>
          <w:b/>
          <w:sz w:val="24"/>
          <w:szCs w:val="24"/>
        </w:rPr>
      </w:r>
      <w:r>
        <w:rPr>
          <w:rFonts w:ascii="Times New Roman" w:hAnsi="Times New Roman"/>
          <w:b/>
          <w:sz w:val="24"/>
          <w:szCs w:val="24"/>
        </w:rPr>
      </w:r>
    </w:p>
    <w:p>
      <w:pPr>
        <w:pStyle w:val="891"/>
        <w:jc w:val="both"/>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pStyle w:val="891"/>
        <w:numPr>
          <w:numId w:val="8"/>
          <w:ilvl w:val="1"/>
        </w:numPr>
        <w:jc w:val="both"/>
        <w:rPr>
          <w:rFonts w:ascii="Times New Roman" w:hAnsi="Times New Roman"/>
          <w:sz w:val="24"/>
          <w:szCs w:val="24"/>
        </w:rPr>
      </w:pPr>
      <w:r>
        <w:rPr>
          <w:rFonts w:ascii="Times New Roman" w:hAnsi="Times New Roman"/>
          <w:sz w:val="24"/>
          <w:szCs w:val="24"/>
        </w:rPr>
        <w:t xml:space="preserve">Оказание </w:t>
      </w:r>
      <w:r>
        <w:rPr>
          <w:rFonts w:ascii="Times New Roman" w:hAnsi="Times New Roman" w:eastAsia="Times New Roman"/>
          <w:sz w:val="24"/>
          <w:szCs w:val="24"/>
        </w:rPr>
        <w:t xml:space="preserve">услуг по уборке </w:t>
      </w:r>
      <w:r>
        <w:rPr>
          <w:rFonts w:ascii="Times New Roman" w:hAnsi="Times New Roman"/>
          <w:sz w:val="24"/>
          <w:szCs w:val="24"/>
        </w:rPr>
        <w:t xml:space="preserve">административных и производственных помещений и территорий к административным зданиям филиала проводится в целях обеспечения надежной, безопасной и безаварийной работы персонала и техники Филиала.</w:t>
      </w:r>
      <w:r>
        <w:rPr>
          <w:rFonts w:ascii="Times New Roman" w:hAnsi="Times New Roman"/>
          <w:sz w:val="24"/>
          <w:szCs w:val="24"/>
        </w:rPr>
      </w:r>
      <w:r>
        <w:rPr>
          <w:rFonts w:ascii="Times New Roman" w:hAnsi="Times New Roman"/>
          <w:sz w:val="24"/>
          <w:szCs w:val="24"/>
        </w:rPr>
      </w:r>
    </w:p>
    <w:p>
      <w:pPr>
        <w:pStyle w:val="891"/>
        <w:numPr>
          <w:numId w:val="8"/>
          <w:ilvl w:val="1"/>
        </w:numPr>
        <w:jc w:val="both"/>
        <w:rPr>
          <w:rFonts w:ascii="Times New Roman" w:hAnsi="Times New Roman"/>
          <w:sz w:val="24"/>
          <w:szCs w:val="24"/>
        </w:rPr>
      </w:pPr>
      <w:r>
        <w:rPr>
          <w:rFonts w:ascii="Times New Roman" w:hAnsi="Times New Roman"/>
          <w:sz w:val="24"/>
          <w:szCs w:val="24"/>
        </w:rPr>
        <w:t xml:space="preserve">Перечень единичных видов и ориентировочный объем услуг представляется в Приложении №1 к Техническому заданию. </w:t>
      </w:r>
      <w:r>
        <w:rPr>
          <w:rFonts w:ascii="Times New Roman" w:hAnsi="Times New Roman"/>
          <w:sz w:val="24"/>
          <w:szCs w:val="24"/>
        </w:rPr>
      </w:r>
      <w:r>
        <w:rPr>
          <w:rFonts w:ascii="Times New Roman" w:hAnsi="Times New Roman"/>
          <w:sz w:val="24"/>
          <w:szCs w:val="24"/>
        </w:rPr>
      </w:r>
    </w:p>
    <w:p>
      <w:pPr>
        <w:pStyle w:val="891"/>
        <w:numPr>
          <w:numId w:val="8"/>
          <w:ilvl w:val="1"/>
        </w:numPr>
        <w:jc w:val="both"/>
        <w:rPr>
          <w:rFonts w:ascii="Times New Roman" w:hAnsi="Times New Roman"/>
          <w:sz w:val="24"/>
          <w:szCs w:val="24"/>
        </w:rPr>
      </w:pPr>
      <w:r>
        <w:rPr>
          <w:rFonts w:ascii="Times New Roman" w:hAnsi="Times New Roman"/>
          <w:sz w:val="24"/>
          <w:szCs w:val="24"/>
        </w:rPr>
        <w:t xml:space="preserve">Для участия в торгово-закупочной процедуре и заключения договора Участнику необходимо представить коммерческое предложение стоимости единичных видов услуг в соответствии с Приложением №2.</w:t>
      </w:r>
      <w:r>
        <w:rPr>
          <w:rFonts w:ascii="Times New Roman" w:hAnsi="Times New Roman"/>
          <w:sz w:val="24"/>
          <w:szCs w:val="24"/>
        </w:rPr>
      </w:r>
      <w:r>
        <w:rPr>
          <w:rFonts w:ascii="Times New Roman" w:hAnsi="Times New Roman"/>
          <w:sz w:val="24"/>
          <w:szCs w:val="24"/>
        </w:rPr>
      </w:r>
    </w:p>
    <w:p>
      <w:pPr>
        <w:pStyle w:val="896"/>
        <w:numPr>
          <w:numId w:val="8"/>
          <w:ilvl w:val="1"/>
        </w:numPr>
        <w:jc w:val="both"/>
      </w:pPr>
      <w:r>
        <w:t xml:space="preserve">Для заключения договора после проведения торгово-закупочной процедуры используется форма договора на возмездное оказание услуг согласно Приложению 6. </w:t>
      </w:r>
    </w:p>
    <w:p>
      <w:pPr>
        <w:pStyle w:val="891"/>
        <w:numPr>
          <w:numId w:val="8"/>
          <w:ilvl w:val="1"/>
        </w:numPr>
        <w:jc w:val="both"/>
        <w:rPr>
          <w:rFonts w:ascii="Times New Roman" w:hAnsi="Times New Roman"/>
          <w:sz w:val="24"/>
          <w:szCs w:val="24"/>
        </w:rPr>
      </w:pPr>
      <w:r>
        <w:rPr>
          <w:rFonts w:ascii="Times New Roman" w:hAnsi="Times New Roman"/>
        </w:rPr>
        <w:t xml:space="preserve">Услуги по уборке оказываются на объектах, перечень которых приведен в Приложениях № 4,5 к настоящему Техническому заданию. </w:t>
      </w:r>
      <w:r>
        <w:rPr>
          <w:rFonts w:ascii="Times New Roman" w:hAnsi="Times New Roman"/>
          <w:sz w:val="24"/>
          <w:szCs w:val="24"/>
        </w:rPr>
      </w:r>
      <w:r>
        <w:rPr>
          <w:rFonts w:ascii="Times New Roman" w:hAnsi="Times New Roman"/>
          <w:sz w:val="24"/>
          <w:szCs w:val="24"/>
        </w:rPr>
      </w:r>
    </w:p>
    <w:p>
      <w:pPr>
        <w:pStyle w:val="903"/>
        <w:widowControl/>
        <w:numPr>
          <w:numId w:val="8"/>
          <w:ilvl w:val="1"/>
        </w:numPr>
        <w:ind w:right="-1"/>
        <w:jc w:val="both"/>
      </w:pPr>
      <w:r>
        <w:t xml:space="preserve">Конкретные виды услуг и их объемы определяются на основании заявки Заказчика. К Заявке прилагается ведомость объемов. Заявка Заказчика с момента ее подписания является неотъемлемой частью Договора. </w:t>
      </w:r>
    </w:p>
    <w:p>
      <w:pPr>
        <w:pStyle w:val="891"/>
        <w:ind w:left="734"/>
        <w:jc w:val="both"/>
      </w:pPr>
    </w:p>
    <w:p>
      <w:pPr>
        <w:ind w:firstLine="708"/>
        <w:jc w:val="both"/>
      </w:pPr>
    </w:p>
    <w:p>
      <w:pPr>
        <w:shd w:val="clear" w:color="auto" w:fill="ffffff"/>
        <w:spacing w:before="2"/>
        <w:ind w:right="-104" w:firstLine="284"/>
        <w:jc w:val="both"/>
        <w:rPr>
          <w:b/>
        </w:rPr>
      </w:pPr>
      <w:r>
        <w:rPr>
          <w:b/>
          <w:spacing w:val="-8"/>
        </w:rPr>
        <w:t xml:space="preserve">2. Т</w:t>
      </w:r>
      <w:r>
        <w:rPr>
          <w:b/>
        </w:rPr>
        <w:t xml:space="preserve">ребования к оказанию услуг по уборке</w:t>
      </w:r>
      <w:r>
        <w:rPr>
          <w:b/>
        </w:rPr>
      </w:r>
      <w:r>
        <w:rPr>
          <w:b/>
        </w:rPr>
      </w:r>
    </w:p>
    <w:p>
      <w:pPr>
        <w:shd w:val="clear" w:color="auto" w:fill="ffffff"/>
        <w:spacing w:before="2"/>
        <w:ind w:right="-104" w:firstLine="708"/>
        <w:jc w:val="both"/>
        <w:rPr>
          <w:b/>
        </w:rPr>
      </w:pPr>
      <w:r>
        <w:rPr>
          <w:b/>
        </w:rPr>
      </w:r>
      <w:r>
        <w:rPr>
          <w:b/>
        </w:rPr>
      </w:r>
      <w:r>
        <w:rPr>
          <w:b/>
        </w:rPr>
      </w:r>
    </w:p>
    <w:p>
      <w:pPr>
        <w:pStyle w:val="903"/>
        <w:widowControl/>
        <w:numPr>
          <w:numId w:val="12"/>
          <w:ilvl w:val="1"/>
        </w:numPr>
        <w:tabs>
          <w:tab w:val="left" w:pos="1134" w:leader="none"/>
        </w:tabs>
        <w:spacing w:line="228" w:lineRule="auto"/>
        <w:ind w:left="714" w:hanging="357"/>
        <w:jc w:val="both"/>
      </w:pPr>
      <w:r>
        <w:t xml:space="preserve">Оказание услуг по уборке помещений должно выполняться специальным инвентарем и специальными материалами, необходимым оборудованием, предоставленным Исполнителем согласно утвержденным нормам. Весь инвентарь для уборки предоставля</w:t>
      </w:r>
      <w:r>
        <w:t xml:space="preserve">ется Исполнителем. Расходные материалы, используемые при   проведение услуг должны соответствовать аналогу материалов, приведенных в Приложении №3. Электроэнергия, вода и т.п. предоставляется Заказчиком от существующих источников на время выполнения работ.</w:t>
      </w:r>
    </w:p>
    <w:p>
      <w:pPr>
        <w:pStyle w:val="896"/>
        <w:ind w:left="709"/>
        <w:jc w:val="both"/>
      </w:pPr>
      <w:r>
        <w:t xml:space="preserve">Перед началом оказания услуг Испо</w:t>
      </w:r>
      <w:r>
        <w:t xml:space="preserve">лнитель должен представить весь пакет разрешительной документации согласно «Регламента допуска персонала организаций для выполнения работ на объектах ПАО «Россети Московский регион» (утвержден приказом ПАО «Россети Московский регион» от 05.04.2021г. №333) </w:t>
      </w:r>
      <w:r>
        <w:rPr>
          <w:rStyle w:val="912"/>
          <w:color w:val="auto"/>
        </w:rPr>
        <w:t xml:space="preserve">(Опубликован на сайте ПАО «Россети Московский регион»).</w:t>
      </w:r>
    </w:p>
    <w:p>
      <w:pPr>
        <w:pStyle w:val="903"/>
        <w:widowControl/>
        <w:numPr>
          <w:numId w:val="12"/>
          <w:ilvl w:val="1"/>
        </w:numPr>
        <w:tabs>
          <w:tab w:val="left" w:pos="1134" w:leader="none"/>
        </w:tabs>
        <w:spacing w:line="228" w:lineRule="auto"/>
        <w:ind w:left="714" w:hanging="357"/>
        <w:jc w:val="both"/>
      </w:pPr>
      <w:r>
        <w:t xml:space="preserve"> Списки работников, оказывающих услуги, должны быть со</w:t>
      </w:r>
      <w:r>
        <w:t xml:space="preserve">гласованы со службой безопасности Заказчика за два дня до начала оказания услуг. Персонал Исполнителя должен быть русскоязычным. В случае привлечения иностранных граждан Исполнитель представляет соответствующие документы, в том числе разрешения на работу. </w:t>
      </w:r>
    </w:p>
    <w:p>
      <w:pPr>
        <w:pStyle w:val="903"/>
        <w:widowControl/>
        <w:numPr>
          <w:numId w:val="12"/>
          <w:ilvl w:val="1"/>
        </w:numPr>
        <w:tabs>
          <w:tab w:val="left" w:pos="1134" w:leader="none"/>
        </w:tabs>
        <w:spacing w:line="228" w:lineRule="auto"/>
        <w:ind w:left="714" w:hanging="357"/>
        <w:jc w:val="both"/>
      </w:pPr>
      <w:r>
        <w:t xml:space="preserve">Исполнитель не вправе разглашать и раскрывать третьим лицам конфиденциальную информацию, предоставленную ему Заказчиком, либо ставшую ему известной в ходе оказания услуг, и не использовать ее в каких-либо целях иначе.</w:t>
      </w:r>
    </w:p>
    <w:p>
      <w:pPr>
        <w:pStyle w:val="903"/>
        <w:widowControl/>
        <w:numPr>
          <w:numId w:val="12"/>
          <w:ilvl w:val="1"/>
        </w:numPr>
        <w:shd w:val="clear" w:color="auto" w:fill="ffffff"/>
        <w:tabs>
          <w:tab w:val="left" w:pos="1134" w:leader="none"/>
        </w:tabs>
        <w:spacing w:before="2" w:line="228" w:lineRule="auto"/>
        <w:ind w:left="714" w:right="-104" w:hanging="357"/>
        <w:jc w:val="both"/>
      </w:pPr>
      <w:r>
        <w:t xml:space="preserve">Все услуги на территории Заказчика должны оказываться в специальной одежде, предназначенной для этого вида услуг.</w:t>
      </w:r>
    </w:p>
    <w:p>
      <w:pPr>
        <w:pStyle w:val="903"/>
        <w:widowControl/>
        <w:numPr>
          <w:numId w:val="12"/>
          <w:ilvl w:val="1"/>
        </w:numPr>
        <w:shd w:val="clear" w:color="auto" w:fill="ffffff"/>
        <w:spacing w:before="2" w:line="228" w:lineRule="auto"/>
        <w:ind w:left="851" w:right="-104" w:hanging="425"/>
        <w:jc w:val="both"/>
      </w:pPr>
      <w:r>
        <w:t xml:space="preserve">Комп</w:t>
      </w:r>
      <w:r>
        <w:t xml:space="preserve">лексная уборка кабинетов служебных помещений производится с 6-00 ч. до 8-00 ч. Поддерживающая уборка осуществляется с 08:00 до 15:00. Уборка территории в зимний период производится с 06:00 до 15:00 По требованию Заказчика график работы может быть изменен. </w:t>
      </w:r>
    </w:p>
    <w:p>
      <w:pPr>
        <w:pStyle w:val="903"/>
        <w:widowControl/>
        <w:numPr>
          <w:numId w:val="12"/>
          <w:ilvl w:val="1"/>
        </w:numPr>
        <w:shd w:val="clear" w:color="auto" w:fill="ffffff"/>
        <w:tabs>
          <w:tab w:val="left" w:pos="159" w:leader="none"/>
          <w:tab w:val="left" w:pos="1134" w:leader="none"/>
        </w:tabs>
        <w:spacing w:before="2"/>
        <w:ind w:left="714" w:right="-104" w:hanging="357"/>
        <w:jc w:val="both"/>
      </w:pPr>
      <w:r>
        <w:t xml:space="preserve">Оказание услуг по мытью окон по адресам согласно Приложению 4 по требованию Заказчика осуществляется </w:t>
      </w:r>
      <w:r>
        <w:rPr>
          <w:rFonts w:cs="Times New Roman"/>
        </w:rPr>
        <w:t xml:space="preserve">с 1 апреля по 15 июня, план-график должен быть согласован с Заказчиком и предоставлен до 25 марта;</w:t>
      </w:r>
      <w:r>
        <w:t xml:space="preserve"> по факту завершения работ оформляется отчет, подписанный ответственным лицом подразделения Заказчика и представителем Исполнителя, и передается куратору договора. Повторное мытье по заявке Заказчика.</w:t>
      </w:r>
    </w:p>
    <w:p>
      <w:pPr>
        <w:pStyle w:val="903"/>
        <w:widowControl/>
        <w:shd w:val="clear" w:color="auto" w:fill="ffffff"/>
        <w:tabs>
          <w:tab w:val="left" w:pos="159" w:leader="none"/>
          <w:tab w:val="left" w:pos="1134" w:leader="none"/>
        </w:tabs>
        <w:spacing w:before="2"/>
        <w:ind w:left="714" w:right="-104"/>
        <w:jc w:val="both"/>
      </w:pPr>
    </w:p>
    <w:p>
      <w:pPr>
        <w:pStyle w:val="903"/>
        <w:numPr>
          <w:numId w:val="14"/>
          <w:ilvl w:val="0"/>
        </w:numPr>
        <w:rPr>
          <w:b/>
          <w:bCs/>
        </w:rPr>
      </w:pPr>
      <w:r>
        <w:rPr>
          <w:b/>
          <w:bCs/>
        </w:rPr>
        <w:t xml:space="preserve">Требования к оборудованию и материалам</w:t>
      </w:r>
      <w:r>
        <w:rPr>
          <w:b/>
          <w:bCs/>
        </w:rPr>
      </w:r>
      <w:r>
        <w:rPr>
          <w:b/>
          <w:bCs/>
        </w:rPr>
      </w:r>
    </w:p>
    <w:p>
      <w:pPr>
        <w:pStyle w:val="903"/>
        <w:rPr>
          <w:b/>
          <w:bCs/>
        </w:rPr>
      </w:pPr>
      <w:r>
        <w:rPr>
          <w:b/>
          <w:bCs/>
        </w:rPr>
      </w:r>
      <w:r>
        <w:rPr>
          <w:b/>
          <w:bCs/>
        </w:rPr>
      </w:r>
      <w:r>
        <w:rPr>
          <w:b/>
          <w:bCs/>
        </w:rPr>
      </w:r>
    </w:p>
    <w:p>
      <w:pPr>
        <w:ind w:left="426"/>
        <w:jc w:val="both"/>
      </w:pPr>
      <w:r>
        <w:t xml:space="preserve">3</w:t>
      </w:r>
      <w:r>
        <w:t xml:space="preserve">.1. Химические средства (моющие, полирующие, пятно выводящие, дезинфицирующие), применяемые при оказании услуг по уборке, а также уборочный инвентарь (уборочные тележки, протирочный материал, швабры, щетки, губки, перчатки, салфетки из микрофибры, тряпки, </w:t>
      </w:r>
      <w:r>
        <w:t xml:space="preserve">моп</w:t>
      </w:r>
      <w:r>
        <w:t xml:space="preserve">, полотно холст прошивное и </w:t>
      </w:r>
      <w:r>
        <w:t xml:space="preserve">т.п</w:t>
      </w:r>
      <w:r>
        <w:t xml:space="preserve">) должны использоваться в соответствии с требованиями инструкций фирм-изготовителей.</w:t>
      </w:r>
    </w:p>
    <w:p>
      <w:pPr>
        <w:ind w:left="426"/>
        <w:jc w:val="both"/>
      </w:pPr>
      <w:r>
        <w:t xml:space="preserve">3.2. Уборочный инвентарь после использования следует промывать горячей проточной водой с моющими средствами. Не допускается многоразовое использование текстильных материалов, применяемых при уборке технических помещений.</w:t>
      </w:r>
    </w:p>
    <w:p>
      <w:pPr>
        <w:ind w:left="426"/>
        <w:jc w:val="both"/>
      </w:pPr>
      <w:r>
        <w:t xml:space="preserve">3.3. Удаление грязи с различных поверхностей следует осуществлять с применением соответствующего способа уборки. Не допускается оставлять грязь на ступеньках, краях, в углах и других труднодоступных местах.</w:t>
      </w:r>
    </w:p>
    <w:p>
      <w:pPr>
        <w:ind w:left="426"/>
        <w:jc w:val="both"/>
      </w:pPr>
      <w:r>
        <w:t xml:space="preserve">3.4. При уборке помещений с применением химических средств следует защищать поверхности и окружающие предметы, не подлежащие уборке.</w:t>
      </w:r>
    </w:p>
    <w:p>
      <w:pPr>
        <w:ind w:left="567"/>
        <w:jc w:val="both"/>
      </w:pPr>
      <w:r>
        <w:t xml:space="preserve">3.5. При проведении влажной убор</w:t>
      </w:r>
      <w:r>
        <w:t xml:space="preserve">ки твердых и полутвердых полов для снижения опасности травматизма запрещается использовать мыло и порошкообразные синтетические моющие средства. Для устранения неприятного запаха в туалетах должен использоваться освежитель воздуха для санитарных помещений.</w:t>
      </w:r>
    </w:p>
    <w:p>
      <w:pPr>
        <w:ind w:left="567"/>
        <w:jc w:val="both"/>
      </w:pPr>
      <w:r>
        <w:t xml:space="preserve">3.6. При выполнении уборочных операций по мойке окон и операций по уходу за зеркалами и прочими зеркальными поверхностями запрещается использовать порошкообразные синтетические моющие средства и абразивные очистители.  </w:t>
      </w:r>
    </w:p>
    <w:p>
      <w:pPr>
        <w:ind w:firstLine="720"/>
        <w:jc w:val="both"/>
      </w:pPr>
    </w:p>
    <w:p>
      <w:pPr>
        <w:pStyle w:val="892"/>
        <w:widowControl/>
        <w:spacing w:before="0" w:after="0"/>
        <w:ind w:left="360"/>
        <w:jc w:val="left"/>
        <w:outlineLvl w:val="9"/>
        <w:rPr>
          <w:rFonts w:ascii="Times New Roman" w:hAnsi="Times New Roman"/>
          <w:sz w:val="24"/>
          <w:szCs w:val="24"/>
        </w:rPr>
      </w:pPr>
      <w:r>
        <w:rPr>
          <w:spacing w:val="-8"/>
          <w:sz w:val="24"/>
          <w:szCs w:val="24"/>
        </w:rPr>
        <w:tab/>
      </w:r>
      <w:r>
        <w:rPr>
          <w:b w:val="0"/>
          <w:sz w:val="24"/>
          <w:szCs w:val="24"/>
        </w:rPr>
        <w:tab/>
      </w:r>
      <w:r>
        <w:rPr>
          <w:rFonts w:ascii="Times New Roman" w:hAnsi="Times New Roman"/>
          <w:sz w:val="24"/>
          <w:szCs w:val="24"/>
        </w:rPr>
        <w:t xml:space="preserve">4. Особые графики оказания услуг</w:t>
      </w:r>
      <w:r>
        <w:rPr>
          <w:rFonts w:ascii="Times New Roman" w:hAnsi="Times New Roman"/>
          <w:sz w:val="24"/>
          <w:szCs w:val="24"/>
        </w:rPr>
      </w:r>
      <w:r>
        <w:rPr>
          <w:rFonts w:ascii="Times New Roman" w:hAnsi="Times New Roman"/>
          <w:sz w:val="24"/>
          <w:szCs w:val="24"/>
        </w:rPr>
      </w:r>
    </w:p>
    <w:p/>
    <w:p>
      <w:pPr>
        <w:ind w:left="567"/>
        <w:jc w:val="both"/>
        <w:rPr>
          <w:color w:val="1f497d"/>
        </w:rPr>
      </w:pPr>
      <w:r>
        <w:rPr>
          <w:rFonts w:eastAsia="Times New Roman" w:cs="Times New Roman"/>
          <w:bCs/>
        </w:rPr>
        <w:t xml:space="preserve">4.1. В помещениях персонала, работающего в выходные дни, комплексная уборка производится по требованию Заказчика.</w:t>
      </w:r>
      <w:r>
        <w:rPr>
          <w:color w:val="1f497d"/>
        </w:rPr>
      </w:r>
      <w:r>
        <w:rPr>
          <w:color w:val="1f497d"/>
        </w:rPr>
      </w:r>
    </w:p>
    <w:p>
      <w:pPr>
        <w:widowControl/>
        <w:ind w:left="567"/>
        <w:jc w:val="both"/>
        <w:rPr>
          <w:rFonts w:eastAsia="Times New Roman" w:cs="Times New Roman"/>
          <w:bCs/>
        </w:rPr>
      </w:pPr>
      <w:r>
        <w:rPr>
          <w:rFonts w:eastAsia="Times New Roman" w:cs="Times New Roman"/>
          <w:bCs/>
        </w:rPr>
        <w:t xml:space="preserve">4.2. Генеральная уборка на объектах для устранения недостатков производится по требованию Заказчика.</w:t>
      </w:r>
      <w:r>
        <w:rPr>
          <w:rFonts w:eastAsia="Times New Roman" w:cs="Times New Roman"/>
          <w:bCs/>
        </w:rPr>
      </w:r>
      <w:r>
        <w:rPr>
          <w:rFonts w:eastAsia="Times New Roman" w:cs="Times New Roman"/>
          <w:bCs/>
        </w:rPr>
      </w:r>
    </w:p>
    <w:p>
      <w:pPr>
        <w:widowControl/>
        <w:ind w:left="567"/>
        <w:jc w:val="both"/>
        <w:rPr>
          <w:rFonts w:eastAsia="Times New Roman" w:cs="Times New Roman"/>
          <w:bCs/>
        </w:rPr>
      </w:pPr>
      <w:r>
        <w:rPr>
          <w:rFonts w:eastAsia="Times New Roman" w:cs="Times New Roman"/>
          <w:bCs/>
        </w:rPr>
        <w:t xml:space="preserve">4.3.</w:t>
      </w:r>
      <w:r>
        <w:rPr>
          <w:rFonts w:eastAsia="Times New Roman" w:cs="Times New Roman"/>
          <w:bCs/>
        </w:rPr>
        <w:t xml:space="preserve"> Уборка в праздничные дни осуществляется в соответствии с Приказом Директора филиала ПАО «Россети Московский регион»-Южные электрические сети «Об обеспечении режима работы филиала ПАО «Россети Московский регион»-Южные электрические сети в праздничные дни».</w:t>
      </w:r>
      <w:r>
        <w:rPr>
          <w:rFonts w:eastAsia="Times New Roman" w:cs="Times New Roman"/>
          <w:bCs/>
        </w:rPr>
      </w:r>
      <w:r>
        <w:rPr>
          <w:rFonts w:eastAsia="Times New Roman" w:cs="Times New Roman"/>
          <w:bCs/>
        </w:rPr>
      </w:r>
    </w:p>
    <w:p>
      <w:pPr>
        <w:tabs>
          <w:tab w:val="left" w:pos="0" w:leader="none"/>
        </w:tabs>
        <w:ind w:left="567"/>
        <w:jc w:val="both"/>
        <w:rPr>
          <w:rFonts w:eastAsia="Times New Roman" w:cs="Times New Roman"/>
          <w:bCs/>
        </w:rPr>
      </w:pPr>
      <w:r>
        <w:rPr>
          <w:rFonts w:eastAsia="Times New Roman" w:cs="Times New Roman"/>
          <w:bCs/>
        </w:rPr>
        <w:t xml:space="preserve">4.4. Уборка во время подготовки к официальным мероприятиям производится по требованию Заказчика. </w:t>
      </w:r>
      <w:r>
        <w:rPr>
          <w:rFonts w:eastAsia="Times New Roman" w:cs="Times New Roman"/>
          <w:bCs/>
        </w:rPr>
      </w:r>
      <w:r>
        <w:rPr>
          <w:rFonts w:eastAsia="Times New Roman" w:cs="Times New Roman"/>
          <w:bCs/>
        </w:rPr>
      </w:r>
    </w:p>
    <w:p>
      <w:pPr>
        <w:tabs>
          <w:tab w:val="left" w:pos="0" w:leader="none"/>
        </w:tabs>
        <w:ind w:left="567"/>
        <w:jc w:val="both"/>
        <w:rPr>
          <w:rFonts w:eastAsia="Times New Roman" w:cs="Times New Roman"/>
          <w:bCs/>
        </w:rPr>
      </w:pPr>
      <w:r>
        <w:rPr>
          <w:rFonts w:eastAsia="Times New Roman" w:cs="Times New Roman"/>
          <w:bCs/>
        </w:rPr>
        <w:t xml:space="preserve">4.5. При необходимости для генеральной уборки и уборки помещений в ходе подготовки к мероприятиям, а также </w:t>
      </w:r>
      <w:r>
        <w:t xml:space="preserve">в аварийных случаях </w:t>
      </w:r>
      <w:r>
        <w:rPr>
          <w:rFonts w:eastAsia="Times New Roman" w:cs="Times New Roman"/>
          <w:bCs/>
        </w:rPr>
        <w:t xml:space="preserve">по запросу Заказчика Исполнителем предоставляются </w:t>
      </w:r>
      <w:r>
        <w:t xml:space="preserve">мобильные уборочные бригады для круглосуточного выезда, прибытие по запросу в течение 3 часов.</w:t>
      </w:r>
      <w:r>
        <w:rPr>
          <w:rFonts w:eastAsia="Times New Roman" w:cs="Times New Roman"/>
          <w:bCs/>
        </w:rPr>
        <w:t xml:space="preserve"> </w:t>
      </w:r>
      <w:r>
        <w:t xml:space="preserve">Указанное расчётное время до начала услуг включает в себя: сбор бригады, доставка на объект.</w:t>
      </w:r>
      <w:r>
        <w:rPr>
          <w:rFonts w:eastAsia="Times New Roman" w:cs="Times New Roman"/>
          <w:bCs/>
        </w:rPr>
      </w:r>
      <w:r>
        <w:rPr>
          <w:rFonts w:eastAsia="Times New Roman" w:cs="Times New Roman"/>
          <w:bCs/>
        </w:rPr>
      </w:r>
    </w:p>
    <w:p>
      <w:pPr>
        <w:pStyle w:val="892"/>
        <w:widowControl/>
        <w:spacing w:before="0" w:after="0"/>
        <w:ind w:left="567"/>
        <w:jc w:val="both"/>
        <w:outlineLvl w:val="9"/>
        <w:rPr>
          <w:rFonts w:ascii="Times New Roman" w:hAnsi="Times New Roman"/>
          <w:b w:val="0"/>
          <w:sz w:val="24"/>
          <w:szCs w:val="24"/>
        </w:rPr>
      </w:pPr>
      <w:r>
        <w:rPr>
          <w:rFonts w:ascii="Times New Roman" w:hAnsi="Times New Roman"/>
          <w:b w:val="0"/>
          <w:sz w:val="24"/>
          <w:szCs w:val="24"/>
        </w:rPr>
        <w:t xml:space="preserve">4.6. Уборка в период переездов и ремонтов подразделений производится по требованию Заказчика.</w:t>
      </w:r>
      <w:r>
        <w:rPr>
          <w:rFonts w:ascii="Times New Roman" w:hAnsi="Times New Roman"/>
          <w:b w:val="0"/>
          <w:sz w:val="24"/>
          <w:szCs w:val="24"/>
        </w:rPr>
      </w:r>
      <w:r>
        <w:rPr>
          <w:rFonts w:ascii="Times New Roman" w:hAnsi="Times New Roman"/>
          <w:b w:val="0"/>
          <w:sz w:val="24"/>
          <w:szCs w:val="24"/>
        </w:rPr>
      </w:r>
    </w:p>
    <w:p>
      <w:pPr>
        <w:ind w:left="567"/>
        <w:jc w:val="both"/>
        <w:rPr>
          <w:color w:val="1f497d"/>
        </w:rPr>
      </w:pPr>
      <w:r>
        <w:t xml:space="preserve">4.7. По требованию Заказчика производится дезинфекция мест общественного пользования</w:t>
      </w:r>
      <w:r>
        <w:rPr>
          <w:color w:val="1f497d"/>
        </w:rPr>
        <w:t xml:space="preserve">.</w:t>
      </w:r>
      <w:r>
        <w:rPr>
          <w:color w:val="1f497d"/>
        </w:rPr>
      </w:r>
      <w:r>
        <w:rPr>
          <w:color w:val="1f497d"/>
        </w:rPr>
      </w:r>
    </w:p>
    <w:p>
      <w:pPr>
        <w:shd w:val="clear" w:color="auto" w:fill="ffffff"/>
        <w:tabs>
          <w:tab w:val="left" w:pos="567" w:leader="none"/>
        </w:tabs>
        <w:spacing w:before="5" w:line="274" w:lineRule="exact"/>
        <w:ind w:right="-817"/>
        <w:rPr>
          <w:b/>
          <w:bCs/>
          <w:spacing w:val="-2"/>
        </w:rPr>
      </w:pPr>
      <w:r>
        <w:rPr>
          <w:b/>
          <w:bCs/>
          <w:spacing w:val="-2"/>
        </w:rPr>
      </w:r>
      <w:r>
        <w:rPr>
          <w:b/>
          <w:bCs/>
          <w:spacing w:val="-2"/>
        </w:rPr>
      </w:r>
      <w:r>
        <w:rPr>
          <w:b/>
          <w:bCs/>
          <w:spacing w:val="-2"/>
        </w:rPr>
      </w:r>
    </w:p>
    <w:p>
      <w:pPr>
        <w:shd w:val="clear" w:color="auto" w:fill="ffffff"/>
        <w:tabs>
          <w:tab w:val="left" w:pos="567" w:leader="none"/>
        </w:tabs>
        <w:spacing w:before="5" w:line="274" w:lineRule="exact"/>
        <w:ind w:right="-817"/>
        <w:rPr>
          <w:b/>
          <w:bCs/>
          <w:spacing w:val="-2"/>
        </w:rPr>
      </w:pPr>
      <w:r>
        <w:rPr>
          <w:b/>
          <w:bCs/>
          <w:spacing w:val="-2"/>
        </w:rPr>
        <w:t xml:space="preserve">                 5. </w:t>
      </w:r>
      <w:r>
        <w:rPr>
          <w:rStyle w:val="915"/>
          <w:b/>
          <w:bCs/>
          <w:color w:val="000000"/>
        </w:rPr>
        <w:t xml:space="preserve">Требования к Исполнителю в части оказания услуг:</w:t>
      </w:r>
      <w:r>
        <w:rPr>
          <w:b/>
          <w:bCs/>
          <w:spacing w:val="-2"/>
        </w:rPr>
      </w:r>
      <w:r>
        <w:rPr>
          <w:b/>
          <w:bCs/>
          <w:spacing w:val="-2"/>
        </w:rPr>
      </w:r>
    </w:p>
    <w:p>
      <w:pPr>
        <w:shd w:val="clear" w:color="auto" w:fill="ffffff"/>
        <w:tabs>
          <w:tab w:val="left" w:pos="567" w:leader="none"/>
        </w:tabs>
        <w:spacing w:before="5" w:line="274" w:lineRule="exact"/>
        <w:ind w:right="-817"/>
        <w:rPr>
          <w:b/>
          <w:bCs/>
          <w:spacing w:val="-2"/>
        </w:rPr>
      </w:pPr>
      <w:r>
        <w:rPr>
          <w:b/>
          <w:bCs/>
          <w:spacing w:val="-2"/>
        </w:rPr>
      </w:r>
      <w:r>
        <w:rPr>
          <w:b/>
          <w:bCs/>
          <w:spacing w:val="-2"/>
        </w:rPr>
      </w:r>
      <w:r>
        <w:rPr>
          <w:b/>
          <w:bCs/>
          <w:spacing w:val="-2"/>
        </w:rPr>
      </w:r>
    </w:p>
    <w:p>
      <w:pPr>
        <w:pStyle w:val="913"/>
        <w:tabs>
          <w:tab w:val="left" w:pos="1134" w:leader="none"/>
        </w:tabs>
        <w:spacing w:before="0" w:beforeAutospacing="0" w:after="0" w:afterAutospacing="0"/>
        <w:ind w:left="567"/>
        <w:jc w:val="both"/>
      </w:pPr>
      <w:r>
        <w:t xml:space="preserve">5.1. </w:t>
      </w:r>
      <w:r>
        <w:rPr>
          <w:color w:val="000000"/>
        </w:rPr>
        <w:t xml:space="preserve">Оказать услуги в соответствии с требованиями соответствующей нормативной документации:</w:t>
      </w:r>
    </w:p>
    <w:p>
      <w:pPr>
        <w:widowControl/>
        <w:ind w:left="567"/>
        <w:jc w:val="both"/>
        <w:rPr>
          <w:rFonts w:eastAsia="Times New Roman" w:cs="Times New Roman"/>
        </w:rPr>
      </w:pPr>
      <w:r>
        <w:rPr>
          <w:rFonts w:eastAsia="Times New Roman" w:cs="Times New Roman"/>
          <w:color w:val="000000"/>
        </w:rPr>
        <w:t xml:space="preserve">-СП 118.13330.2022 «СНиП 31-06-2009 Общественные здания и сооружения».</w:t>
      </w:r>
      <w:r>
        <w:rPr>
          <w:rFonts w:eastAsia="Times New Roman" w:cs="Times New Roman"/>
        </w:rPr>
      </w:r>
    </w:p>
    <w:p>
      <w:pPr>
        <w:widowControl/>
        <w:shd w:val="clear" w:color="auto" w:fill="ffffff"/>
        <w:ind w:left="567"/>
        <w:jc w:val="both"/>
        <w:rPr>
          <w:rFonts w:eastAsia="Times New Roman" w:cs="Times New Roman"/>
        </w:rPr>
      </w:pPr>
      <w:r>
        <w:rPr>
          <w:rFonts w:eastAsia="Times New Roman" w:cs="Times New Roman"/>
          <w:color w:val="000000"/>
        </w:rPr>
        <w:t xml:space="preserve">- ГОСТ Р 51870-2014 «Услуги профессиональной уборки – </w:t>
      </w:r>
      <w:r>
        <w:rPr>
          <w:rFonts w:eastAsia="Times New Roman" w:cs="Times New Roman"/>
          <w:color w:val="000000"/>
        </w:rPr>
        <w:t xml:space="preserve">клининговые</w:t>
      </w:r>
      <w:r>
        <w:rPr>
          <w:rFonts w:eastAsia="Times New Roman" w:cs="Times New Roman"/>
          <w:color w:val="000000"/>
        </w:rPr>
        <w:t xml:space="preserve"> услуги. Общие технические условия»</w:t>
      </w:r>
      <w:r>
        <w:rPr>
          <w:rFonts w:eastAsia="Times New Roman" w:cs="Times New Roman"/>
          <w:color w:val="000000"/>
        </w:rPr>
        <w:t xml:space="preserve">.</w:t>
      </w:r>
      <w:r>
        <w:rPr>
          <w:rFonts w:eastAsia="Times New Roman" w:cs="Times New Roman"/>
        </w:rPr>
      </w:r>
    </w:p>
    <w:p>
      <w:pPr>
        <w:widowControl/>
        <w:ind w:left="567"/>
        <w:jc w:val="both"/>
        <w:rPr>
          <w:rFonts w:eastAsia="Times New Roman" w:cs="Times New Roman"/>
        </w:rPr>
      </w:pPr>
      <w:r>
        <w:rPr>
          <w:rFonts w:eastAsia="Times New Roman" w:cs="Times New Roman"/>
          <w:color w:val="000000"/>
        </w:rPr>
        <w:t xml:space="preserve">- ГОСТ Р 57582-2017 «Услуги профессиональной уборки. </w:t>
      </w:r>
      <w:r>
        <w:rPr>
          <w:rFonts w:eastAsia="Times New Roman" w:cs="Times New Roman"/>
          <w:color w:val="000000"/>
        </w:rPr>
        <w:t xml:space="preserve">Клининговые</w:t>
      </w:r>
      <w:r>
        <w:rPr>
          <w:rFonts w:eastAsia="Times New Roman" w:cs="Times New Roman"/>
          <w:color w:val="000000"/>
        </w:rPr>
        <w:t xml:space="preserve"> услуги. Система оценки качества организаций профессиональной уборки»</w:t>
      </w:r>
      <w:r>
        <w:rPr>
          <w:rFonts w:eastAsia="Times New Roman" w:cs="Times New Roman"/>
          <w:color w:val="000000"/>
        </w:rPr>
        <w:t xml:space="preserve">.</w:t>
      </w:r>
      <w:r>
        <w:rPr>
          <w:rFonts w:eastAsia="Times New Roman" w:cs="Times New Roman"/>
        </w:rPr>
      </w:r>
    </w:p>
    <w:p>
      <w:pPr>
        <w:widowControl/>
        <w:tabs>
          <w:tab w:val="left" w:pos="1134" w:leader="none"/>
        </w:tabs>
        <w:ind w:left="567"/>
        <w:jc w:val="both"/>
        <w:rPr>
          <w:rFonts w:eastAsia="Times New Roman" w:cs="Times New Roman"/>
        </w:rPr>
      </w:pPr>
      <w:r>
        <w:rPr>
          <w:rFonts w:eastAsia="Times New Roman" w:cs="Times New Roman"/>
          <w:color w:val="000000"/>
        </w:rPr>
        <w:tab/>
        <w:t xml:space="preserve">Применяемые при оказании услуг материалы, комплектующие изделия,</w:t>
      </w:r>
      <w:r>
        <w:rPr>
          <w:rFonts w:eastAsia="Times New Roman" w:cs="Times New Roman"/>
          <w:color w:val="000000"/>
        </w:rPr>
        <w:t xml:space="preserve"> приспособления должны быть новыми, ранее не использованными, иметь сертификаты соответствия требованиям стандартов Российской Федерации и сертификаты соответствия пожарной безопасности (только на материалы и изделия, подлежащие обязательной сертификации).</w:t>
      </w:r>
      <w:r>
        <w:rPr>
          <w:rFonts w:eastAsia="Times New Roman" w:cs="Times New Roman"/>
        </w:rPr>
      </w:r>
      <w:r>
        <w:rPr>
          <w:rFonts w:eastAsia="Times New Roman" w:cs="Times New Roman"/>
        </w:rPr>
      </w:r>
    </w:p>
    <w:p>
      <w:pPr>
        <w:widowControl/>
        <w:tabs>
          <w:tab w:val="left" w:pos="1134" w:leader="none"/>
        </w:tabs>
        <w:ind w:left="567"/>
        <w:jc w:val="both"/>
        <w:rPr>
          <w:rFonts w:eastAsia="Times New Roman" w:cs="Times New Roman"/>
        </w:rPr>
      </w:pPr>
      <w:r>
        <w:rPr>
          <w:rFonts w:eastAsia="Times New Roman" w:cs="Times New Roman"/>
          <w:color w:val="000000"/>
        </w:rPr>
        <w:tab/>
        <w:t xml:space="preserve">Исполнитель за свой счет осуществляет закупку всех необходимых материалов для выполнения работ (услуг) с обоснованием их применения по технологии работ при выполнении в приёмо-сдаточной документации Заказчику.</w:t>
      </w:r>
      <w:r>
        <w:rPr>
          <w:rFonts w:eastAsia="Times New Roman" w:cs="Times New Roman"/>
        </w:rPr>
      </w:r>
      <w:r>
        <w:rPr>
          <w:rFonts w:eastAsia="Times New Roman" w:cs="Times New Roman"/>
        </w:rPr>
      </w:r>
    </w:p>
    <w:p>
      <w:pPr>
        <w:widowControl/>
        <w:tabs>
          <w:tab w:val="left" w:pos="1134" w:leader="none"/>
        </w:tabs>
        <w:ind w:left="567"/>
        <w:jc w:val="both"/>
        <w:rPr>
          <w:rFonts w:eastAsia="Times New Roman" w:cs="Times New Roman"/>
        </w:rPr>
      </w:pPr>
      <w:r>
        <w:rPr>
          <w:rFonts w:eastAsia="Times New Roman" w:cs="Times New Roman"/>
          <w:color w:val="000000"/>
        </w:rPr>
        <w:tab/>
        <w:t xml:space="preserve">Стоимость оказания услуг определяется по исполнительным ведомостям и соответствующих Перечню единичных стоимостей услуг. Нормы расхода применяемых материалов (</w:t>
      </w:r>
      <w:r>
        <w:rPr>
          <w:rFonts w:eastAsia="Times New Roman" w:cs="Times New Roman"/>
          <w:color w:val="000000"/>
        </w:rPr>
        <w:t xml:space="preserve">химвеществ</w:t>
      </w:r>
      <w:r>
        <w:rPr>
          <w:rFonts w:eastAsia="Times New Roman" w:cs="Times New Roman"/>
          <w:color w:val="000000"/>
        </w:rPr>
        <w:t xml:space="preserve">) должны соответствовать нормативной документации Изготовителя по применению указанного материала (</w:t>
      </w:r>
      <w:r>
        <w:rPr>
          <w:rFonts w:eastAsia="Times New Roman" w:cs="Times New Roman"/>
          <w:color w:val="000000"/>
        </w:rPr>
        <w:t xml:space="preserve">химвещества</w:t>
      </w:r>
      <w:r>
        <w:rPr>
          <w:rFonts w:eastAsia="Times New Roman" w:cs="Times New Roman"/>
          <w:color w:val="000000"/>
        </w:rPr>
        <w:t xml:space="preserve">).</w:t>
      </w:r>
      <w:r>
        <w:rPr>
          <w:rFonts w:eastAsia="Times New Roman" w:cs="Times New Roman"/>
        </w:rPr>
      </w:r>
      <w:r>
        <w:rPr>
          <w:rFonts w:eastAsia="Times New Roman" w:cs="Times New Roman"/>
        </w:rPr>
      </w:r>
    </w:p>
    <w:p>
      <w:pPr>
        <w:widowControl/>
        <w:tabs>
          <w:tab w:val="left" w:pos="709" w:leader="none"/>
        </w:tabs>
        <w:ind w:left="567"/>
        <w:jc w:val="both"/>
        <w:rPr>
          <w:rFonts w:eastAsia="Times New Roman" w:cs="Times New Roman"/>
        </w:rPr>
      </w:pPr>
      <w:r>
        <w:rPr>
          <w:rFonts w:eastAsia="Times New Roman" w:cs="Times New Roman"/>
          <w:color w:val="000000"/>
        </w:rPr>
        <w:tab/>
        <w:t xml:space="preserve">Исполнитель не должен передавать третьим лицам информацию о составе, технических характеристиках и функциональном назначении, технологических схемах инженерных систем, назначении помещений.</w:t>
      </w:r>
      <w:r>
        <w:rPr>
          <w:rFonts w:eastAsia="Times New Roman" w:cs="Times New Roman"/>
        </w:rPr>
      </w:r>
      <w:r>
        <w:rPr>
          <w:rFonts w:eastAsia="Times New Roman" w:cs="Times New Roman"/>
        </w:rPr>
      </w:r>
    </w:p>
    <w:p>
      <w:pPr>
        <w:ind w:left="567" w:right="-1"/>
        <w:jc w:val="both"/>
        <w:outlineLvl w:val="1"/>
      </w:pPr>
      <w:r>
        <w:rPr>
          <w:rFonts w:eastAsia="Times New Roman" w:cs="Times New Roman"/>
          <w:color w:val="000000"/>
        </w:rPr>
        <w:t xml:space="preserve">Перед началом оказания услуг Исполнитель должен представить весь п</w:t>
      </w:r>
      <w:r>
        <w:rPr>
          <w:rFonts w:eastAsia="Times New Roman" w:cs="Times New Roman"/>
          <w:color w:val="000000"/>
        </w:rPr>
        <w:t xml:space="preserve">акет разрешительной документации согласно «Регламента допуска персонала организаций для выполнения работ на объектах ПАО «Россети Московский регион», утвержденного приказом Общества от 05.04.2021 №333 (Опубликован на сайте ПАО «Россети Московский регион»).</w:t>
      </w:r>
    </w:p>
    <w:p>
      <w:pPr>
        <w:shd w:val="clear" w:color="auto" w:fill="ffffff"/>
        <w:tabs>
          <w:tab w:val="left" w:pos="567" w:leader="none"/>
        </w:tabs>
        <w:spacing w:before="5" w:line="274" w:lineRule="exact"/>
        <w:ind w:left="709" w:right="-817"/>
        <w:rPr>
          <w:b/>
          <w:bCs/>
          <w:spacing w:val="-2"/>
        </w:rPr>
      </w:pPr>
      <w:r>
        <w:rPr>
          <w:b/>
          <w:bCs/>
          <w:spacing w:val="-2"/>
        </w:rPr>
        <w:t xml:space="preserve">               </w:t>
      </w:r>
      <w:r>
        <w:rPr>
          <w:b/>
          <w:bCs/>
          <w:spacing w:val="-2"/>
        </w:rPr>
      </w:r>
      <w:r>
        <w:rPr>
          <w:b/>
          <w:bCs/>
          <w:spacing w:val="-2"/>
        </w:rPr>
      </w:r>
    </w:p>
    <w:p>
      <w:pPr>
        <w:shd w:val="clear" w:color="auto" w:fill="ffffff"/>
        <w:tabs>
          <w:tab w:val="left" w:pos="567" w:leader="none"/>
        </w:tabs>
        <w:spacing w:before="5" w:line="274" w:lineRule="exact"/>
        <w:ind w:right="-817"/>
        <w:jc w:val="center"/>
        <w:rPr>
          <w:b/>
          <w:bCs/>
          <w:spacing w:val="-2"/>
        </w:rPr>
      </w:pPr>
      <w:r>
        <w:rPr>
          <w:b/>
          <w:bCs/>
          <w:spacing w:val="-2"/>
        </w:rPr>
        <w:t xml:space="preserve">6. Требования к участнику закупки.</w:t>
      </w:r>
      <w:r>
        <w:rPr>
          <w:b/>
          <w:bCs/>
          <w:spacing w:val="-2"/>
        </w:rPr>
      </w:r>
      <w:r>
        <w:rPr>
          <w:b/>
          <w:bCs/>
          <w:spacing w:val="-2"/>
        </w:rPr>
      </w:r>
    </w:p>
    <w:p>
      <w:pPr>
        <w:shd w:val="clear" w:color="auto" w:fill="ffffff"/>
        <w:tabs>
          <w:tab w:val="left" w:pos="567" w:leader="none"/>
        </w:tabs>
        <w:spacing w:before="5" w:line="274" w:lineRule="exact"/>
        <w:ind w:right="-817"/>
        <w:jc w:val="center"/>
        <w:rPr>
          <w:b/>
          <w:bCs/>
          <w:spacing w:val="-2"/>
        </w:rPr>
      </w:pPr>
      <w:r>
        <w:rPr>
          <w:b/>
          <w:bCs/>
          <w:spacing w:val="-2"/>
        </w:rPr>
      </w:r>
      <w:r>
        <w:rPr>
          <w:b/>
          <w:bCs/>
          <w:spacing w:val="-2"/>
        </w:rPr>
      </w:r>
      <w:r>
        <w:rPr>
          <w:b/>
          <w:bCs/>
          <w:spacing w:val="-2"/>
        </w:rPr>
      </w:r>
    </w:p>
    <w:p>
      <w:pPr>
        <w:shd w:val="clear" w:color="auto" w:fill="ffffff"/>
        <w:tabs>
          <w:tab w:val="left" w:pos="567" w:leader="none"/>
        </w:tabs>
        <w:spacing w:before="5" w:line="274" w:lineRule="exact"/>
        <w:ind w:right="-816" w:firstLine="567"/>
        <w:rPr>
          <w:b/>
          <w:bCs/>
          <w:spacing w:val="-2"/>
        </w:rPr>
      </w:pPr>
      <w:r>
        <w:rPr>
          <w:b/>
          <w:bCs/>
          <w:spacing w:val="-2"/>
        </w:rPr>
        <w:t xml:space="preserve">6. 1. Обязательные (отборочные) требования к участнику закупки.  </w:t>
      </w:r>
      <w:r>
        <w:rPr>
          <w:b/>
          <w:bCs/>
          <w:spacing w:val="-2"/>
        </w:rPr>
      </w:r>
      <w:r>
        <w:rPr>
          <w:b/>
          <w:bCs/>
          <w:spacing w:val="-2"/>
        </w:rPr>
      </w:r>
    </w:p>
    <w:p>
      <w:pPr>
        <w:tabs>
          <w:tab w:val="left" w:pos="9360" w:leader="none"/>
        </w:tabs>
        <w:ind w:left="709"/>
        <w:jc w:val="both"/>
      </w:pPr>
      <w:r>
        <w:t xml:space="preserve">6.1.1. Участник должен соответствовать всем требованиям Документации о закупке.</w:t>
      </w:r>
    </w:p>
    <w:p>
      <w:pPr>
        <w:shd w:val="clear" w:color="auto" w:fill="ffffff"/>
        <w:tabs>
          <w:tab w:val="left" w:pos="240" w:leader="none"/>
          <w:tab w:val="left" w:pos="567" w:leader="none"/>
        </w:tabs>
        <w:spacing w:line="274" w:lineRule="exact"/>
        <w:ind w:left="709" w:right="-1"/>
        <w:jc w:val="both"/>
        <w:rPr>
          <w:b/>
        </w:rPr>
      </w:pPr>
      <w:r>
        <w:tab/>
      </w:r>
      <w:r>
        <w:tab/>
      </w:r>
      <w:r>
        <w:rPr>
          <w:b/>
        </w:rPr>
        <w:tab/>
      </w:r>
      <w:r>
        <w:rPr>
          <w:b/>
        </w:rPr>
      </w:r>
      <w:r>
        <w:rPr>
          <w:b/>
        </w:rPr>
      </w:r>
    </w:p>
    <w:p>
      <w:pPr>
        <w:shd w:val="clear" w:color="auto" w:fill="ffffff"/>
        <w:tabs>
          <w:tab w:val="left" w:pos="240" w:leader="none"/>
          <w:tab w:val="left" w:pos="567" w:leader="none"/>
        </w:tabs>
        <w:spacing w:line="274" w:lineRule="exact"/>
        <w:ind w:firstLine="709"/>
        <w:jc w:val="both"/>
        <w:rPr>
          <w:b/>
        </w:rPr>
      </w:pPr>
      <w:r>
        <w:rPr>
          <w:b/>
        </w:rPr>
        <w:t xml:space="preserve">6.2. Критерии оценки заявок участников закупочных процедур на право заключения договора </w:t>
      </w:r>
      <w:r>
        <w:rPr>
          <w:b/>
        </w:rPr>
      </w:r>
      <w:r>
        <w:rPr>
          <w:b/>
        </w:rPr>
      </w:r>
    </w:p>
    <w:tbl>
      <w:tblPr>
        <w:tblW w:w="9938" w:type="dxa"/>
        <w:tblInd w:w="93" w:type="dxa"/>
        <w:tblLayout w:type="fixed"/>
        <w:tblLook w:val="04A0" w:firstRow="1" w:lastRow="0" w:firstColumn="1" w:lastColumn="0" w:noHBand="0" w:noVBand="1"/>
      </w:tblPr>
      <w:tblGrid>
        <w:gridCol w:w="7132"/>
        <w:gridCol w:w="2806"/>
      </w:tblGrid>
      <w:tr>
        <w:trPr>
          <w:trHeight w:val="427"/>
          <w:tblHeader/>
        </w:trPr>
        <w:tblPrEx/>
        <w:tc>
          <w:tcPr>
            <w:tcW w:w="7132" w:type="dxa"/>
            <w:vMerge w:val="restart"/>
            <w:tcBorders>
              <w:top w:val="single" w:color="auto" w:sz="4" w:space="0"/>
              <w:left w:val="single" w:color="auto" w:sz="4" w:space="0"/>
              <w:bottom w:val="single" w:color="auto" w:sz="4" w:space="0"/>
              <w:right w:val="single" w:color="auto" w:sz="4" w:space="0"/>
            </w:tcBorders>
            <w:shd w:val="clear" w:color="auto" w:fill="auto"/>
            <w:noWrap/>
            <w:textDirection w:val="lrTb"/>
            <w:vAlign w:val="center"/>
          </w:tcPr>
          <w:p>
            <w:pPr>
              <w:jc w:val="center"/>
              <w:rPr>
                <w:rFonts w:eastAsia="Times New Roman"/>
                <w:b/>
                <w:bCs/>
              </w:rPr>
            </w:pPr>
            <w:r>
              <w:rPr>
                <w:rFonts w:eastAsia="Times New Roman"/>
                <w:b/>
                <w:bCs/>
              </w:rPr>
              <w:t xml:space="preserve">Критерий оценки</w:t>
            </w:r>
            <w:r>
              <w:rPr>
                <w:rFonts w:eastAsia="Times New Roman"/>
                <w:b/>
                <w:bCs/>
              </w:rPr>
            </w:r>
            <w:r>
              <w:rPr>
                <w:rFonts w:eastAsia="Times New Roman"/>
                <w:b/>
                <w:bCs/>
              </w:rPr>
            </w:r>
          </w:p>
        </w:tc>
        <w:tc>
          <w:tcPr>
            <w:tcW w:w="2806" w:type="dxa"/>
            <w:vMerge w:val="restart"/>
            <w:tcBorders>
              <w:top w:val="single" w:color="auto" w:sz="4" w:space="0"/>
              <w:left w:val="single" w:color="auto" w:sz="4" w:space="0"/>
              <w:bottom w:val="single" w:color="auto" w:sz="4" w:space="0"/>
              <w:right w:val="single" w:color="auto" w:sz="4" w:space="0"/>
            </w:tcBorders>
            <w:shd w:val="clear" w:color="auto" w:fill="auto"/>
            <w:noWrap w:val="false"/>
            <w:textDirection w:val="lrTb"/>
            <w:vAlign w:val="center"/>
          </w:tcPr>
          <w:p>
            <w:pPr>
              <w:jc w:val="center"/>
              <w:rPr>
                <w:rFonts w:eastAsia="Times New Roman"/>
                <w:b/>
                <w:bCs/>
              </w:rPr>
            </w:pPr>
            <w:r>
              <w:rPr>
                <w:rFonts w:eastAsia="Times New Roman"/>
                <w:b/>
                <w:bCs/>
              </w:rPr>
              <w:t xml:space="preserve">Весовой коэффициент</w:t>
            </w:r>
            <w:r>
              <w:rPr>
                <w:rFonts w:eastAsia="Times New Roman"/>
                <w:b/>
                <w:bCs/>
              </w:rPr>
            </w:r>
            <w:r>
              <w:rPr>
                <w:rFonts w:eastAsia="Times New Roman"/>
                <w:b/>
                <w:bCs/>
              </w:rPr>
            </w:r>
          </w:p>
        </w:tc>
      </w:tr>
      <w:tr>
        <w:trPr>
          <w:trHeight w:val="300"/>
        </w:trPr>
        <w:tblPrEx/>
        <w:tc>
          <w:tcPr>
            <w:tcW w:w="7132"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rPr>
                <w:rFonts w:eastAsia="Times New Roman"/>
                <w:b/>
                <w:bCs/>
              </w:rPr>
            </w:pPr>
            <w:r>
              <w:rPr>
                <w:rFonts w:eastAsia="Times New Roman"/>
                <w:b/>
                <w:bCs/>
              </w:rPr>
              <w:t xml:space="preserve">6.2.1. Профессионализм и компетентность</w:t>
            </w:r>
            <w:r>
              <w:rPr>
                <w:rFonts w:eastAsia="Times New Roman"/>
                <w:b/>
                <w:bCs/>
              </w:rPr>
            </w:r>
            <w:r>
              <w:rPr>
                <w:rFonts w:eastAsia="Times New Roman"/>
                <w:b/>
                <w:bCs/>
              </w:rPr>
            </w:r>
          </w:p>
        </w:tc>
        <w:tc>
          <w:tcPr>
            <w:tcW w:w="2806"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rFonts w:eastAsia="Times New Roman"/>
                <w:b/>
                <w:bCs/>
                <w:lang w:val="en-US"/>
              </w:rPr>
            </w:pPr>
            <w:r>
              <w:rPr>
                <w:rFonts w:eastAsia="Times New Roman"/>
                <w:b/>
                <w:bCs/>
                <w:lang w:val="en-US"/>
              </w:rPr>
            </w:r>
            <w:r>
              <w:rPr>
                <w:rFonts w:eastAsia="Times New Roman"/>
                <w:b/>
                <w:bCs/>
                <w:lang w:val="en-US"/>
              </w:rPr>
            </w:r>
            <w:r>
              <w:rPr>
                <w:rFonts w:eastAsia="Times New Roman"/>
                <w:b/>
                <w:bCs/>
                <w:lang w:val="en-US"/>
              </w:rPr>
            </w:r>
          </w:p>
        </w:tc>
      </w:tr>
      <w:tr>
        <w:trPr>
          <w:trHeight w:val="300"/>
        </w:trPr>
        <w:tblPrEx/>
        <w:tc>
          <w:tcPr>
            <w:tcW w:w="7132"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both"/>
              <w:rPr>
                <w:rFonts w:eastAsia="Times New Roman"/>
                <w:bCs/>
              </w:rPr>
            </w:pPr>
            <w:r>
              <w:rPr>
                <w:rFonts w:eastAsia="Times New Roman"/>
                <w:bCs/>
              </w:rPr>
              <w:t xml:space="preserve">Н</w:t>
            </w:r>
            <w:r>
              <w:rPr>
                <w:rFonts w:eastAsia="Times New Roman"/>
                <w:bCs/>
              </w:rPr>
              <w:t xml:space="preserve">аличие опыта оказания услуг по комплексной уборке административный и производственных помещений, и территорий к административным зданиям за последние 5 лет с момента размещения извещения о проведении ТЗП. Предоставить копию договора и акта оказанных услуг </w:t>
            </w:r>
            <w:r>
              <w:rPr>
                <w:rFonts w:eastAsia="Times New Roman"/>
                <w:bCs/>
              </w:rPr>
            </w:r>
            <w:r>
              <w:rPr>
                <w:rFonts w:eastAsia="Times New Roman"/>
                <w:bCs/>
              </w:rPr>
            </w:r>
          </w:p>
          <w:p>
            <w:pPr>
              <w:jc w:val="both"/>
              <w:rPr>
                <w:rFonts w:eastAsia="Times New Roman"/>
                <w:bCs/>
              </w:rPr>
            </w:pPr>
            <w:r>
              <w:rPr>
                <w:rFonts w:eastAsia="Times New Roman"/>
                <w:bCs/>
              </w:rPr>
              <w:t xml:space="preserve">1 договор – 30 балла, </w:t>
            </w:r>
            <w:r>
              <w:rPr>
                <w:rFonts w:eastAsia="Times New Roman"/>
                <w:bCs/>
              </w:rPr>
            </w:r>
            <w:r>
              <w:rPr>
                <w:rFonts w:eastAsia="Times New Roman"/>
                <w:bCs/>
              </w:rPr>
            </w:r>
          </w:p>
          <w:p>
            <w:pPr>
              <w:jc w:val="both"/>
              <w:rPr>
                <w:rFonts w:eastAsia="Times New Roman"/>
                <w:bCs/>
              </w:rPr>
            </w:pPr>
            <w:r>
              <w:rPr>
                <w:rFonts w:eastAsia="Times New Roman"/>
                <w:bCs/>
              </w:rPr>
              <w:t xml:space="preserve">2 договора – 50 баллов, </w:t>
            </w:r>
            <w:r>
              <w:rPr>
                <w:rFonts w:eastAsia="Times New Roman"/>
                <w:bCs/>
              </w:rPr>
            </w:r>
            <w:r>
              <w:rPr>
                <w:rFonts w:eastAsia="Times New Roman"/>
                <w:bCs/>
              </w:rPr>
            </w:r>
          </w:p>
          <w:p>
            <w:pPr>
              <w:jc w:val="both"/>
              <w:rPr>
                <w:rFonts w:eastAsia="Times New Roman"/>
                <w:bCs/>
              </w:rPr>
            </w:pPr>
            <w:r>
              <w:rPr>
                <w:rFonts w:eastAsia="Times New Roman"/>
                <w:bCs/>
              </w:rPr>
              <w:t xml:space="preserve">3 и более договоров – 100 баллов, </w:t>
            </w:r>
            <w:r>
              <w:rPr>
                <w:rFonts w:eastAsia="Times New Roman"/>
                <w:bCs/>
              </w:rPr>
            </w:r>
            <w:r>
              <w:rPr>
                <w:rFonts w:eastAsia="Times New Roman"/>
                <w:bCs/>
              </w:rPr>
            </w:r>
          </w:p>
          <w:p>
            <w:pPr>
              <w:rPr>
                <w:rFonts w:eastAsia="Times New Roman"/>
                <w:bCs/>
              </w:rPr>
            </w:pPr>
            <w:r>
              <w:rPr>
                <w:rFonts w:eastAsia="Times New Roman"/>
                <w:bCs/>
              </w:rPr>
              <w:t xml:space="preserve">отсутствие выполненных договоров за последние 5 лет с момента размещения извещения о проведении ТЗП/документы не предоставлены  – 0 баллов.</w:t>
            </w:r>
            <w:r>
              <w:rPr>
                <w:rFonts w:eastAsia="Times New Roman"/>
                <w:bCs/>
              </w:rPr>
            </w:r>
            <w:r>
              <w:rPr>
                <w:rFonts w:eastAsia="Times New Roman"/>
                <w:bCs/>
              </w:rPr>
            </w:r>
          </w:p>
        </w:tc>
        <w:tc>
          <w:tcPr>
            <w:tcW w:w="2806"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rFonts w:eastAsia="Times New Roman"/>
                <w:b/>
                <w:bCs/>
                <w:vertAlign w:val="subscript"/>
                <w:lang w:val="en-US"/>
              </w:rPr>
            </w:pPr>
            <w:r>
              <w:rPr>
                <w:rFonts w:eastAsia="Times New Roman"/>
                <w:b/>
                <w:bCs/>
                <w:vertAlign w:val="subscript"/>
              </w:rPr>
              <w:t xml:space="preserve">0,1</w:t>
            </w:r>
            <w:r>
              <w:rPr>
                <w:rFonts w:eastAsia="Times New Roman"/>
                <w:b/>
                <w:bCs/>
                <w:vertAlign w:val="subscript"/>
                <w:lang w:val="en-US"/>
              </w:rPr>
            </w:r>
            <w:r>
              <w:rPr>
                <w:rFonts w:eastAsia="Times New Roman"/>
                <w:b/>
                <w:bCs/>
                <w:vertAlign w:val="subscript"/>
                <w:lang w:val="en-US"/>
              </w:rPr>
            </w:r>
          </w:p>
        </w:tc>
      </w:tr>
      <w:tr>
        <w:trPr>
          <w:trHeight w:val="300"/>
        </w:trPr>
        <w:tblPrEx/>
        <w:tc>
          <w:tcPr>
            <w:tcW w:w="7132"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jc w:val="both"/>
              <w:rPr>
                <w:rFonts w:eastAsia="Times New Roman"/>
                <w:bCs/>
                <w:i/>
              </w:rPr>
            </w:pPr>
            <w:r>
              <w:rPr>
                <w:rFonts w:eastAsia="Times New Roman"/>
                <w:bCs/>
                <w:i/>
              </w:rPr>
              <w:t xml:space="preserve">Наличие материально-технических ресурсов:</w:t>
            </w:r>
            <w:r>
              <w:rPr>
                <w:rFonts w:eastAsia="Times New Roman"/>
                <w:bCs/>
                <w:i/>
              </w:rPr>
            </w:r>
            <w:r>
              <w:rPr>
                <w:rFonts w:eastAsia="Times New Roman"/>
                <w:bCs/>
                <w:i/>
              </w:rPr>
            </w:r>
          </w:p>
          <w:p>
            <w:pPr>
              <w:jc w:val="both"/>
              <w:rPr>
                <w:rFonts w:eastAsia="Times New Roman"/>
                <w:bCs/>
              </w:rPr>
            </w:pPr>
            <w:r>
              <w:rPr>
                <w:rFonts w:eastAsia="Times New Roman"/>
                <w:bCs/>
              </w:rPr>
              <w:t xml:space="preserve">предоставление техники для уборки и территорий в летний и зимний период (1 комплект состоит из 3 ручных роторных снегоуборщика и 3 ручных газонокосилок-триммеров), Подтверждающие документы: справка о материально-технических ресурсах (МТР)</w:t>
            </w:r>
            <w:r>
              <w:rPr>
                <w:rFonts w:eastAsia="Times New Roman"/>
                <w:bCs/>
              </w:rPr>
            </w:r>
            <w:r>
              <w:rPr>
                <w:rFonts w:eastAsia="Times New Roman"/>
                <w:bCs/>
              </w:rPr>
            </w:r>
          </w:p>
          <w:p>
            <w:pPr>
              <w:rPr>
                <w:rFonts w:eastAsia="Times New Roman"/>
                <w:bCs/>
              </w:rPr>
            </w:pPr>
            <w:r>
              <w:rPr>
                <w:rFonts w:eastAsia="Times New Roman"/>
                <w:bCs/>
              </w:rPr>
              <w:t xml:space="preserve">-0-2 комплекта/документы не предоставлены</w:t>
            </w:r>
            <w:r>
              <w:rPr>
                <w:rFonts w:eastAsia="Times New Roman"/>
              </w:rPr>
              <w:t xml:space="preserve">/документы не соответствуют критериям оценки</w:t>
            </w:r>
            <w:r>
              <w:rPr>
                <w:rFonts w:eastAsia="Times New Roman"/>
                <w:bCs/>
              </w:rPr>
              <w:t xml:space="preserve"> =0 баллов </w:t>
            </w:r>
            <w:r>
              <w:rPr>
                <w:rFonts w:eastAsia="Times New Roman"/>
                <w:bCs/>
              </w:rPr>
            </w:r>
            <w:r>
              <w:rPr>
                <w:rFonts w:eastAsia="Times New Roman"/>
                <w:bCs/>
              </w:rPr>
            </w:r>
          </w:p>
          <w:p>
            <w:pPr>
              <w:rPr>
                <w:rFonts w:eastAsia="Times New Roman"/>
                <w:bCs/>
              </w:rPr>
            </w:pPr>
            <w:r>
              <w:rPr>
                <w:rFonts w:eastAsia="Times New Roman"/>
                <w:bCs/>
              </w:rPr>
              <w:t xml:space="preserve">-3 и более комплектов, д</w:t>
            </w:r>
            <w:bookmarkStart w:id="0" w:name="_GoBack"/>
            <w:bookmarkEnd w:id="0"/>
            <w:r>
              <w:rPr>
                <w:rFonts w:eastAsia="Times New Roman"/>
                <w:bCs/>
              </w:rPr>
              <w:t xml:space="preserve">окументы предоставлены =100 баллов</w:t>
            </w:r>
            <w:r>
              <w:rPr>
                <w:rFonts w:eastAsia="Times New Roman"/>
                <w:bCs/>
              </w:rPr>
            </w:r>
            <w:r>
              <w:rPr>
                <w:rFonts w:eastAsia="Times New Roman"/>
                <w:bCs/>
              </w:rPr>
            </w:r>
          </w:p>
        </w:tc>
        <w:tc>
          <w:tcPr>
            <w:tcW w:w="2806"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rFonts w:eastAsia="Times New Roman"/>
                <w:b/>
                <w:bCs/>
                <w:vertAlign w:val="subscript"/>
                <w:lang w:val="en-US"/>
              </w:rPr>
            </w:pPr>
            <w:r>
              <w:rPr>
                <w:rFonts w:eastAsia="Times New Roman"/>
                <w:b/>
                <w:bCs/>
                <w:vertAlign w:val="subscript"/>
              </w:rPr>
              <w:t xml:space="preserve">0,05</w:t>
            </w:r>
            <w:r>
              <w:rPr>
                <w:rFonts w:eastAsia="Times New Roman"/>
                <w:b/>
                <w:bCs/>
                <w:vertAlign w:val="subscript"/>
                <w:lang w:val="en-US"/>
              </w:rPr>
            </w:r>
            <w:r>
              <w:rPr>
                <w:rFonts w:eastAsia="Times New Roman"/>
                <w:b/>
                <w:bCs/>
                <w:vertAlign w:val="subscript"/>
                <w:lang w:val="en-US"/>
              </w:rPr>
            </w:r>
          </w:p>
        </w:tc>
      </w:tr>
      <w:tr>
        <w:trPr>
          <w:trHeight w:val="2562"/>
        </w:trPr>
        <w:tblPrEx/>
        <w:tc>
          <w:tcPr>
            <w:tcW w:w="7132"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rPr>
                <w:rFonts w:eastAsia="Times New Roman"/>
                <w:bCs/>
              </w:rPr>
            </w:pPr>
            <w:r>
              <w:rPr>
                <w:rFonts w:eastAsia="Times New Roman"/>
                <w:bCs/>
              </w:rPr>
              <w:t xml:space="preserve">Наличие кадровых ресурсов для выполнения работ по договору:</w:t>
            </w:r>
            <w:r>
              <w:rPr>
                <w:rFonts w:eastAsia="Times New Roman"/>
                <w:bCs/>
              </w:rPr>
            </w:r>
            <w:r>
              <w:rPr>
                <w:rFonts w:eastAsia="Times New Roman"/>
                <w:bCs/>
              </w:rPr>
            </w:r>
          </w:p>
          <w:p>
            <w:pPr>
              <w:rPr>
                <w:rFonts w:eastAsia="Times New Roman"/>
                <w:bCs/>
              </w:rPr>
            </w:pPr>
            <w:r>
              <w:rPr>
                <w:rFonts w:eastAsia="Times New Roman"/>
                <w:bCs/>
              </w:rPr>
              <w:t xml:space="preserve">(Предоставить справку о кадровых ресурсах либо договоры ГПХ)</w:t>
            </w:r>
            <w:r>
              <w:rPr>
                <w:rFonts w:eastAsia="Times New Roman"/>
                <w:bCs/>
              </w:rPr>
            </w:r>
            <w:r>
              <w:rPr>
                <w:rFonts w:eastAsia="Times New Roman"/>
                <w:bCs/>
              </w:rPr>
            </w:r>
          </w:p>
          <w:p>
            <w:pPr>
              <w:rPr>
                <w:rFonts w:eastAsia="Times New Roman"/>
                <w:bCs/>
              </w:rPr>
            </w:pPr>
            <w:r>
              <w:rPr>
                <w:rFonts w:eastAsia="Times New Roman"/>
                <w:bCs/>
              </w:rPr>
              <w:t xml:space="preserve">- </w:t>
            </w:r>
            <w:r>
              <w:rPr>
                <w:sz w:val="22"/>
                <w:szCs w:val="22"/>
              </w:rPr>
              <w:t xml:space="preserve">наличие персонала менее 50 чел./документы не представлены </w:t>
            </w:r>
            <w:r>
              <w:rPr>
                <w:rFonts w:eastAsia="Times New Roman"/>
                <w:bCs/>
              </w:rPr>
              <w:t xml:space="preserve">=0 баллов;</w:t>
            </w:r>
            <w:r>
              <w:rPr>
                <w:rFonts w:eastAsia="Times New Roman"/>
                <w:bCs/>
              </w:rPr>
            </w:r>
            <w:r>
              <w:rPr>
                <w:rFonts w:eastAsia="Times New Roman"/>
                <w:bCs/>
              </w:rPr>
            </w:r>
          </w:p>
          <w:p>
            <w:pPr>
              <w:rPr>
                <w:rFonts w:eastAsia="Times New Roman"/>
                <w:bCs/>
              </w:rPr>
            </w:pPr>
            <w:r>
              <w:rPr>
                <w:rFonts w:eastAsia="Times New Roman"/>
                <w:bCs/>
              </w:rPr>
              <w:t xml:space="preserve">-от 50 до 110 человек для выполнения работ по договору, </w:t>
            </w:r>
            <w:r>
              <w:rPr>
                <w:sz w:val="22"/>
                <w:szCs w:val="22"/>
              </w:rPr>
              <w:t xml:space="preserve">документы представлены</w:t>
            </w:r>
            <w:r>
              <w:rPr>
                <w:rFonts w:eastAsia="Times New Roman"/>
                <w:bCs/>
              </w:rPr>
              <w:t xml:space="preserve"> =50 баллов</w:t>
            </w:r>
            <w:r>
              <w:rPr>
                <w:rFonts w:eastAsia="Times New Roman"/>
                <w:bCs/>
              </w:rPr>
            </w:r>
            <w:r>
              <w:rPr>
                <w:rFonts w:eastAsia="Times New Roman"/>
                <w:bCs/>
              </w:rPr>
            </w:r>
          </w:p>
          <w:p>
            <w:pPr>
              <w:rPr>
                <w:rFonts w:eastAsia="Times New Roman"/>
                <w:bCs/>
              </w:rPr>
            </w:pPr>
            <w:r>
              <w:rPr>
                <w:rFonts w:eastAsia="Times New Roman"/>
                <w:bCs/>
              </w:rPr>
              <w:t xml:space="preserve">-  </w:t>
            </w:r>
            <w:r>
              <w:rPr>
                <w:sz w:val="22"/>
                <w:szCs w:val="22"/>
              </w:rPr>
              <w:t xml:space="preserve">наличие персонала более 110 чел., документы представлены=100 баллов</w:t>
            </w:r>
            <w:r>
              <w:rPr>
                <w:rFonts w:eastAsia="Times New Roman"/>
                <w:bCs/>
              </w:rPr>
            </w:r>
            <w:r>
              <w:rPr>
                <w:rFonts w:eastAsia="Times New Roman"/>
                <w:bCs/>
              </w:rPr>
            </w:r>
          </w:p>
          <w:p>
            <w:pPr>
              <w:rPr>
                <w:rFonts w:eastAsia="Times New Roman"/>
                <w:bCs/>
              </w:rPr>
            </w:pPr>
            <w:r>
              <w:rPr>
                <w:rFonts w:eastAsia="Times New Roman"/>
                <w:bCs/>
              </w:rPr>
            </w:r>
            <w:r>
              <w:rPr>
                <w:rFonts w:eastAsia="Times New Roman"/>
                <w:bCs/>
              </w:rPr>
            </w:r>
            <w:r>
              <w:rPr>
                <w:rFonts w:eastAsia="Times New Roman"/>
                <w:bCs/>
              </w:rPr>
            </w:r>
          </w:p>
        </w:tc>
        <w:tc>
          <w:tcPr>
            <w:tcW w:w="2806"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rFonts w:eastAsia="Times New Roman"/>
                <w:b/>
                <w:bCs/>
                <w:vertAlign w:val="subscript"/>
                <w:lang w:val="en-US"/>
              </w:rPr>
            </w:pPr>
            <w:r>
              <w:rPr>
                <w:rFonts w:eastAsia="Times New Roman"/>
                <w:b/>
                <w:bCs/>
                <w:vertAlign w:val="subscript"/>
              </w:rPr>
              <w:t xml:space="preserve">0,05</w:t>
            </w:r>
            <w:r>
              <w:rPr>
                <w:rFonts w:eastAsia="Times New Roman"/>
                <w:b/>
                <w:bCs/>
                <w:vertAlign w:val="subscript"/>
                <w:lang w:val="en-US"/>
              </w:rPr>
            </w:r>
            <w:r>
              <w:rPr>
                <w:rFonts w:eastAsia="Times New Roman"/>
                <w:b/>
                <w:bCs/>
                <w:vertAlign w:val="subscript"/>
                <w:lang w:val="en-US"/>
              </w:rPr>
            </w:r>
          </w:p>
        </w:tc>
      </w:tr>
      <w:tr>
        <w:trPr>
          <w:trHeight w:val="2718"/>
        </w:trPr>
        <w:tblPrEx/>
        <w:tc>
          <w:tcPr>
            <w:tcW w:w="7132" w:type="dxa"/>
            <w:tcBorders>
              <w:top w:val="none" w:color="000000" w:sz="4" w:space="0"/>
              <w:left w:val="single" w:color="auto" w:sz="4" w:space="0"/>
              <w:bottom w:val="single" w:color="auto" w:sz="4" w:space="0"/>
              <w:right w:val="single" w:color="auto" w:sz="4" w:space="0"/>
            </w:tcBorders>
            <w:shd w:val="clear" w:color="auto" w:fill="auto"/>
            <w:noWrap w:val="false"/>
            <w:textDirection w:val="lrTb"/>
            <w:vAlign w:val="center"/>
          </w:tcPr>
          <w:p>
            <w:pPr>
              <w:rPr>
                <w:b/>
                <w:bCs/>
              </w:rPr>
            </w:pPr>
            <w:r>
              <w:rPr>
                <w:b/>
                <w:bCs/>
              </w:rPr>
              <w:t xml:space="preserve">Цена предложения </w:t>
            </w:r>
            <w:r>
              <w:rPr>
                <w:b/>
                <w:bCs/>
              </w:rPr>
            </w:r>
            <w:r>
              <w:rPr>
                <w:b/>
                <w:bCs/>
              </w:rPr>
            </w:r>
          </w:p>
          <w:p>
            <w:pPr>
              <w:widowControl/>
              <w:rPr>
                <w:rFonts w:eastAsia="Times New Roman" w:cs="Times New Roman"/>
                <w:color w:val="000000"/>
              </w:rPr>
            </w:pPr>
            <w:r>
              <w:rPr>
                <w:rFonts w:eastAsia="Times New Roman" w:cs="Times New Roman"/>
                <w:color w:val="000000"/>
              </w:rPr>
              <w:t xml:space="preserve">Цена предложения </w:t>
            </w:r>
            <w:r>
              <w:rPr>
                <w:rFonts w:eastAsia="Times New Roman" w:cs="Times New Roman"/>
                <w:color w:val="000000"/>
              </w:rPr>
            </w:r>
            <w:r>
              <w:rPr>
                <w:rFonts w:eastAsia="Times New Roman" w:cs="Times New Roman"/>
                <w:color w:val="000000"/>
              </w:rPr>
            </w:r>
          </w:p>
          <w:p>
            <w:pPr>
              <w:widowControl/>
              <w:rPr>
                <w:rFonts w:eastAsia="Times New Roman" w:cs="Times New Roman"/>
                <w:color w:val="000000"/>
              </w:rPr>
            </w:pPr>
            <w:r>
              <w:rPr>
                <w:rFonts w:eastAsia="Times New Roman" w:cs="Times New Roman"/>
                <w:color w:val="000000"/>
              </w:rPr>
              <w:t xml:space="preserve">Оценка участника определяется по формуле:</w:t>
            </w:r>
            <w:r>
              <w:rPr>
                <w:rFonts w:eastAsia="Times New Roman" w:cs="Times New Roman"/>
                <w:color w:val="000000"/>
              </w:rPr>
            </w:r>
            <w:r>
              <w:rPr>
                <w:rFonts w:eastAsia="Times New Roman" w:cs="Times New Roman"/>
                <w:color w:val="000000"/>
              </w:rPr>
            </w:r>
          </w:p>
          <w:p>
            <w:pPr>
              <w:widowControl/>
              <w:rPr>
                <w:rFonts w:eastAsia="Times New Roman" w:cs="Times New Roman"/>
                <w:color w:val="000000"/>
              </w:rPr>
            </w:pPr>
            <w:r>
              <w:rPr>
                <w:rFonts w:eastAsia="Times New Roman" w:cs="Times New Roman"/>
                <w:color w:val="000000"/>
              </w:rPr>
              <w:t xml:space="preserve">             </w:t>
            </w:r>
            <w:r>
              <w:rPr>
                <w:rFonts w:eastAsia="Times New Roman" w:cs="Times New Roman"/>
                <w:color w:val="000000"/>
              </w:rPr>
              <w:t xml:space="preserve">Smax</w:t>
            </w:r>
            <w:r>
              <w:rPr>
                <w:rFonts w:eastAsia="Times New Roman" w:cs="Times New Roman"/>
                <w:color w:val="000000"/>
              </w:rPr>
              <w:t xml:space="preserve"> - </w:t>
            </w:r>
            <w:r>
              <w:rPr>
                <w:rFonts w:eastAsia="Times New Roman" w:cs="Times New Roman"/>
                <w:color w:val="000000"/>
              </w:rPr>
              <w:t xml:space="preserve">Si</w:t>
            </w:r>
            <w:r>
              <w:rPr>
                <w:rFonts w:eastAsia="Times New Roman" w:cs="Times New Roman"/>
                <w:color w:val="000000"/>
              </w:rPr>
            </w:r>
            <w:r>
              <w:rPr>
                <w:rFonts w:eastAsia="Times New Roman" w:cs="Times New Roman"/>
                <w:color w:val="000000"/>
              </w:rPr>
            </w:r>
          </w:p>
          <w:p>
            <w:pPr>
              <w:widowControl/>
              <w:rPr>
                <w:rFonts w:eastAsia="Times New Roman" w:cs="Times New Roman"/>
                <w:color w:val="000000"/>
              </w:rPr>
            </w:pPr>
            <w:r>
              <w:rPr>
                <w:rFonts w:eastAsia="Times New Roman" w:cs="Times New Roman"/>
                <w:color w:val="000000"/>
              </w:rPr>
              <w:t xml:space="preserve">Rsi</w:t>
            </w:r>
            <w:r>
              <w:rPr>
                <w:rFonts w:eastAsia="Times New Roman" w:cs="Times New Roman"/>
                <w:color w:val="000000"/>
              </w:rPr>
              <w:t xml:space="preserve">  =</w:t>
            </w:r>
            <w:r>
              <w:rPr>
                <w:rFonts w:eastAsia="Times New Roman" w:cs="Times New Roman"/>
                <w:color w:val="000000"/>
              </w:rPr>
              <w:t xml:space="preserve"> --------------- x 100  баллов, где:</w:t>
            </w:r>
            <w:r>
              <w:rPr>
                <w:rFonts w:eastAsia="Times New Roman" w:cs="Times New Roman"/>
                <w:color w:val="000000"/>
              </w:rPr>
            </w:r>
            <w:r>
              <w:rPr>
                <w:rFonts w:eastAsia="Times New Roman" w:cs="Times New Roman"/>
                <w:color w:val="000000"/>
              </w:rPr>
            </w:r>
          </w:p>
          <w:p>
            <w:pPr>
              <w:widowControl/>
              <w:rPr>
                <w:rFonts w:eastAsia="Times New Roman" w:cs="Times New Roman"/>
                <w:color w:val="000000"/>
              </w:rPr>
            </w:pPr>
            <w:r>
              <w:rPr>
                <w:rFonts w:eastAsia="Times New Roman" w:cs="Times New Roman"/>
                <w:color w:val="000000"/>
              </w:rPr>
              <w:t xml:space="preserve">             </w:t>
            </w:r>
            <w:r>
              <w:rPr>
                <w:rFonts w:eastAsia="Times New Roman" w:cs="Times New Roman"/>
                <w:color w:val="000000"/>
              </w:rPr>
              <w:t xml:space="preserve">Smax</w:t>
            </w:r>
            <w:r>
              <w:rPr>
                <w:rFonts w:eastAsia="Times New Roman" w:cs="Times New Roman"/>
                <w:color w:val="000000"/>
              </w:rPr>
              <w:t xml:space="preserve"> </w:t>
            </w:r>
            <w:r>
              <w:rPr>
                <w:rFonts w:eastAsia="Times New Roman" w:cs="Times New Roman"/>
                <w:color w:val="000000"/>
              </w:rPr>
            </w:r>
            <w:r>
              <w:rPr>
                <w:rFonts w:eastAsia="Times New Roman" w:cs="Times New Roman"/>
                <w:color w:val="000000"/>
              </w:rPr>
            </w:r>
          </w:p>
          <w:p>
            <w:pPr>
              <w:widowControl/>
              <w:rPr>
                <w:rFonts w:eastAsia="Times New Roman" w:cs="Times New Roman"/>
                <w:color w:val="000000"/>
              </w:rPr>
            </w:pPr>
            <w:r>
              <w:rPr>
                <w:rFonts w:eastAsia="Times New Roman" w:cs="Times New Roman"/>
                <w:color w:val="000000"/>
              </w:rPr>
              <w:t xml:space="preserve">Rsi</w:t>
            </w:r>
            <w:r>
              <w:rPr>
                <w:rFonts w:eastAsia="Times New Roman" w:cs="Times New Roman"/>
                <w:color w:val="000000"/>
              </w:rPr>
              <w:t xml:space="preserve">    - оценка (рейтинг) i-й заявки по критерию стоимости,</w:t>
            </w:r>
            <w:r>
              <w:rPr>
                <w:rFonts w:eastAsia="Times New Roman" w:cs="Times New Roman"/>
                <w:color w:val="000000"/>
              </w:rPr>
            </w:r>
            <w:r>
              <w:rPr>
                <w:rFonts w:eastAsia="Times New Roman" w:cs="Times New Roman"/>
                <w:color w:val="000000"/>
              </w:rPr>
            </w:r>
          </w:p>
          <w:p>
            <w:pPr>
              <w:widowControl/>
              <w:rPr>
                <w:rFonts w:eastAsia="Times New Roman" w:cs="Times New Roman"/>
                <w:color w:val="000000"/>
              </w:rPr>
            </w:pPr>
            <w:r>
              <w:rPr>
                <w:rFonts w:eastAsia="Times New Roman" w:cs="Times New Roman"/>
                <w:color w:val="000000"/>
              </w:rPr>
              <w:t xml:space="preserve">Smax</w:t>
            </w:r>
            <w:r>
              <w:rPr>
                <w:rFonts w:eastAsia="Times New Roman" w:cs="Times New Roman"/>
                <w:color w:val="000000"/>
              </w:rPr>
              <w:t xml:space="preserve">   -  условная величина, равная сумме начальных (максимальных) единичных расценок, установленных документацией о закупке;</w:t>
            </w:r>
            <w:r>
              <w:rPr>
                <w:rFonts w:eastAsia="Times New Roman" w:cs="Times New Roman"/>
                <w:color w:val="000000"/>
              </w:rPr>
            </w:r>
            <w:r>
              <w:rPr>
                <w:rFonts w:eastAsia="Times New Roman" w:cs="Times New Roman"/>
                <w:color w:val="000000"/>
              </w:rPr>
            </w:r>
          </w:p>
          <w:p>
            <w:pPr>
              <w:rPr>
                <w:rFonts w:eastAsia="Times New Roman"/>
                <w:bCs/>
              </w:rPr>
            </w:pPr>
            <w:r>
              <w:rPr>
                <w:rFonts w:eastAsia="Times New Roman" w:cs="Times New Roman"/>
                <w:color w:val="000000"/>
              </w:rPr>
              <w:t xml:space="preserve">Si</w:t>
            </w:r>
            <w:r>
              <w:rPr>
                <w:rFonts w:eastAsia="Times New Roman" w:cs="Times New Roman"/>
                <w:color w:val="000000"/>
              </w:rPr>
              <w:t xml:space="preserve">      - условная величина, равная сумме единичных расценок на номенклатуру продукции, представленную i-</w:t>
            </w:r>
            <w:r>
              <w:rPr>
                <w:rFonts w:eastAsia="Times New Roman" w:cs="Times New Roman"/>
                <w:color w:val="000000"/>
              </w:rPr>
              <w:t xml:space="preserve">ым</w:t>
            </w:r>
            <w:r>
              <w:rPr>
                <w:rFonts w:eastAsia="Times New Roman" w:cs="Times New Roman"/>
                <w:color w:val="000000"/>
              </w:rPr>
              <w:t xml:space="preserve"> участником;</w:t>
            </w:r>
            <w:r>
              <w:rPr>
                <w:rFonts w:eastAsia="Times New Roman"/>
                <w:bCs/>
              </w:rPr>
            </w:r>
            <w:r>
              <w:rPr>
                <w:rFonts w:eastAsia="Times New Roman"/>
                <w:bCs/>
              </w:rPr>
            </w:r>
          </w:p>
        </w:tc>
        <w:tc>
          <w:tcPr>
            <w:tcW w:w="2806" w:type="dxa"/>
            <w:tcBorders>
              <w:top w:val="none" w:color="000000" w:sz="4" w:space="0"/>
              <w:left w:val="none" w:color="000000" w:sz="4" w:space="0"/>
              <w:bottom w:val="single" w:color="auto" w:sz="4" w:space="0"/>
              <w:right w:val="single" w:color="auto" w:sz="4" w:space="0"/>
            </w:tcBorders>
            <w:shd w:val="clear" w:color="auto" w:fill="auto"/>
            <w:noWrap w:val="false"/>
            <w:textDirection w:val="lrTb"/>
            <w:vAlign w:val="center"/>
          </w:tcPr>
          <w:p>
            <w:pPr>
              <w:jc w:val="center"/>
              <w:rPr>
                <w:rFonts w:eastAsia="Times New Roman"/>
                <w:b/>
                <w:bCs/>
                <w:vertAlign w:val="subscript"/>
                <w:lang w:val="en-US"/>
              </w:rPr>
            </w:pPr>
            <w:r>
              <w:rPr>
                <w:rFonts w:eastAsia="Times New Roman"/>
                <w:b/>
                <w:bCs/>
                <w:vertAlign w:val="subscript"/>
              </w:rPr>
              <w:t xml:space="preserve">0,</w:t>
            </w:r>
            <w:r>
              <w:rPr>
                <w:rFonts w:eastAsia="Times New Roman"/>
                <w:b/>
                <w:bCs/>
                <w:vertAlign w:val="subscript"/>
                <w:lang w:val="en-US"/>
              </w:rPr>
              <w:t xml:space="preserve">8</w:t>
            </w:r>
            <w:r>
              <w:rPr>
                <w:rFonts w:eastAsia="Times New Roman"/>
                <w:b/>
                <w:bCs/>
                <w:vertAlign w:val="subscript"/>
                <w:lang w:val="en-US"/>
              </w:rPr>
            </w:r>
            <w:r>
              <w:rPr>
                <w:rFonts w:eastAsia="Times New Roman"/>
                <w:b/>
                <w:bCs/>
                <w:vertAlign w:val="subscript"/>
                <w:lang w:val="en-US"/>
              </w:rPr>
            </w:r>
          </w:p>
        </w:tc>
      </w:tr>
    </w:tbl>
    <w:p>
      <w:pPr>
        <w:shd w:val="clear" w:color="auto" w:fill="ffffff"/>
        <w:tabs>
          <w:tab w:val="left" w:pos="240" w:leader="none"/>
          <w:tab w:val="left" w:pos="567" w:leader="none"/>
        </w:tabs>
        <w:spacing w:line="274" w:lineRule="exact"/>
        <w:ind w:right="-1" w:hanging="709"/>
        <w:jc w:val="both"/>
        <w:rPr>
          <w:b/>
        </w:rPr>
      </w:pPr>
      <w:r>
        <w:rPr>
          <w:b/>
        </w:rPr>
      </w:r>
      <w:r>
        <w:rPr>
          <w:b/>
        </w:rPr>
      </w:r>
      <w:r>
        <w:rPr>
          <w:b/>
        </w:rPr>
      </w:r>
    </w:p>
    <w:p>
      <w:pPr>
        <w:pStyle w:val="896"/>
        <w:ind w:left="284" w:firstLine="567"/>
        <w:jc w:val="both"/>
        <w:rPr>
          <w:color w:val="auto"/>
        </w:rPr>
      </w:pPr>
      <w:r>
        <w:rPr>
          <w:color w:val="auto"/>
        </w:rPr>
        <w:t xml:space="preserve">       Полученные расчетные значения оценк</w:t>
      </w:r>
      <w:r>
        <w:rPr>
          <w:color w:val="auto"/>
        </w:rPr>
        <w:t xml:space="preserve">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 </w:t>
      </w:r>
      <w:r>
        <w:rPr>
          <w:color w:val="auto"/>
        </w:rPr>
      </w:r>
      <w:r>
        <w:rPr>
          <w:color w:val="auto"/>
        </w:rPr>
      </w:r>
    </w:p>
    <w:p>
      <w:pPr>
        <w:pStyle w:val="896"/>
        <w:jc w:val="both"/>
        <w:rPr>
          <w:color w:val="auto"/>
        </w:rPr>
      </w:pPr>
      <w:r>
        <w:rPr>
          <w:color w:val="auto"/>
        </w:rPr>
      </w:r>
      <w:r>
        <w:rPr>
          <w:color w:val="auto"/>
        </w:rPr>
      </w:r>
      <w:r>
        <w:rPr>
          <w:color w:val="auto"/>
        </w:rPr>
      </w:r>
    </w:p>
    <w:p>
      <w:pPr>
        <w:pStyle w:val="896"/>
        <w:ind w:firstLine="709"/>
        <w:jc w:val="both"/>
        <w:rPr>
          <w:color w:val="auto"/>
        </w:rPr>
      </w:pPr>
      <w:r>
        <w:rPr>
          <w:color w:val="auto"/>
        </w:rPr>
        <w:t xml:space="preserve">Ri</w:t>
      </w:r>
      <w:r>
        <w:rPr>
          <w:color w:val="auto"/>
        </w:rPr>
        <w:t xml:space="preserve"> = (R1 x V1) +…+ (</w:t>
      </w:r>
      <w:r>
        <w:rPr>
          <w:color w:val="auto"/>
        </w:rPr>
        <w:t xml:space="preserve">Rm</w:t>
      </w:r>
      <w:r>
        <w:rPr>
          <w:color w:val="auto"/>
        </w:rPr>
        <w:t xml:space="preserve"> x </w:t>
      </w:r>
      <w:r>
        <w:rPr>
          <w:color w:val="auto"/>
        </w:rPr>
        <w:t xml:space="preserve">Vm</w:t>
      </w:r>
      <w:r>
        <w:rPr>
          <w:color w:val="auto"/>
        </w:rPr>
        <w:t xml:space="preserve">), где: </w:t>
      </w:r>
      <w:r>
        <w:rPr>
          <w:color w:val="auto"/>
        </w:rPr>
      </w:r>
      <w:r>
        <w:rPr>
          <w:color w:val="auto"/>
        </w:rPr>
      </w:r>
    </w:p>
    <w:p>
      <w:pPr>
        <w:pStyle w:val="896"/>
        <w:ind w:firstLine="709"/>
        <w:jc w:val="both"/>
        <w:rPr>
          <w:color w:val="auto"/>
        </w:rPr>
      </w:pPr>
      <w:r>
        <w:rPr>
          <w:color w:val="auto"/>
        </w:rPr>
        <w:t xml:space="preserve">Ri</w:t>
      </w:r>
      <w:r>
        <w:rPr>
          <w:color w:val="auto"/>
        </w:rPr>
        <w:t xml:space="preserve"> - общий рейтинг предпочтительности i-й заявки; </w:t>
      </w:r>
      <w:r>
        <w:rPr>
          <w:color w:val="auto"/>
        </w:rPr>
      </w:r>
      <w:r>
        <w:rPr>
          <w:color w:val="auto"/>
        </w:rPr>
      </w:r>
    </w:p>
    <w:p>
      <w:pPr>
        <w:pStyle w:val="896"/>
        <w:ind w:firstLine="709"/>
        <w:jc w:val="both"/>
        <w:rPr>
          <w:color w:val="auto"/>
        </w:rPr>
      </w:pPr>
      <w:r>
        <w:rPr>
          <w:color w:val="auto"/>
        </w:rPr>
        <w:t xml:space="preserve">R1, …, </w:t>
      </w:r>
      <w:r>
        <w:rPr>
          <w:color w:val="auto"/>
        </w:rPr>
        <w:t xml:space="preserve">Rm</w:t>
      </w:r>
      <w:r>
        <w:rPr>
          <w:color w:val="auto"/>
        </w:rPr>
        <w:t xml:space="preserve"> – оценка в баллах по соответствующему критерию </w:t>
      </w:r>
      <w:r>
        <w:rPr>
          <w:color w:val="auto"/>
        </w:rPr>
      </w:r>
      <w:r>
        <w:rPr>
          <w:color w:val="auto"/>
        </w:rPr>
      </w:r>
    </w:p>
    <w:p>
      <w:pPr>
        <w:pStyle w:val="896"/>
        <w:ind w:firstLine="709"/>
        <w:jc w:val="both"/>
        <w:rPr>
          <w:color w:val="auto"/>
        </w:rPr>
      </w:pPr>
      <w:r>
        <w:rPr>
          <w:color w:val="auto"/>
        </w:rPr>
        <w:t xml:space="preserve">V1, …, </w:t>
      </w:r>
      <w:r>
        <w:rPr>
          <w:color w:val="auto"/>
        </w:rPr>
        <w:t xml:space="preserve">Vm</w:t>
      </w:r>
      <w:r>
        <w:rPr>
          <w:color w:val="auto"/>
        </w:rPr>
        <w:t xml:space="preserve"> – весовые коэффициенты соответствующих критериев.</w:t>
      </w:r>
      <w:r>
        <w:rPr>
          <w:color w:val="auto"/>
        </w:rPr>
      </w:r>
      <w:r>
        <w:rPr>
          <w:color w:val="auto"/>
        </w:rPr>
      </w:r>
    </w:p>
    <w:p>
      <w:pPr>
        <w:pStyle w:val="896"/>
        <w:ind w:left="284" w:firstLine="993"/>
        <w:jc w:val="both"/>
        <w:rPr>
          <w:color w:val="auto"/>
        </w:rPr>
      </w:pPr>
      <w:r>
        <w:rPr>
          <w:color w:val="auto"/>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r>
        <w:rPr>
          <w:color w:val="auto"/>
        </w:rPr>
      </w:r>
      <w:r>
        <w:rPr>
          <w:color w:val="auto"/>
        </w:rPr>
      </w:r>
    </w:p>
    <w:p>
      <w:pPr>
        <w:pStyle w:val="896"/>
        <w:ind w:left="284" w:firstLine="993"/>
        <w:jc w:val="both"/>
        <w:rPr>
          <w:color w:val="auto"/>
        </w:rPr>
      </w:pPr>
      <w:r>
        <w:rPr>
          <w:color w:val="auto"/>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r>
        <w:rPr>
          <w:color w:val="auto"/>
        </w:rPr>
      </w:r>
      <w:r>
        <w:rPr>
          <w:color w:val="auto"/>
        </w:rPr>
      </w:r>
    </w:p>
    <w:p>
      <w:pPr>
        <w:shd w:val="clear" w:color="auto" w:fill="ffffff"/>
        <w:tabs>
          <w:tab w:val="left" w:pos="240" w:leader="none"/>
          <w:tab w:val="left" w:pos="567" w:leader="none"/>
        </w:tabs>
        <w:spacing w:line="274" w:lineRule="exact"/>
        <w:ind w:right="-1" w:firstLine="993"/>
        <w:jc w:val="both"/>
      </w:pPr>
    </w:p>
    <w:p>
      <w:pPr>
        <w:shd w:val="clear" w:color="auto" w:fill="ffffff"/>
        <w:tabs>
          <w:tab w:val="left" w:pos="567" w:leader="none"/>
        </w:tabs>
        <w:spacing w:before="5" w:line="274" w:lineRule="exact"/>
        <w:ind w:right="-1"/>
        <w:rPr>
          <w:b/>
          <w:bCs/>
          <w:color w:val="000000"/>
        </w:rPr>
      </w:pPr>
      <w:r>
        <w:rPr>
          <w:b/>
          <w:bCs/>
        </w:rPr>
        <w:t xml:space="preserve">                 7.  Контроль </w:t>
      </w:r>
      <w:r>
        <w:rPr>
          <w:b/>
          <w:bCs/>
          <w:color w:val="000000"/>
        </w:rPr>
        <w:t xml:space="preserve">и приемка оказанных услуг, условия оплаты</w:t>
      </w:r>
      <w:r>
        <w:rPr>
          <w:b/>
          <w:bCs/>
          <w:color w:val="000000"/>
        </w:rPr>
      </w:r>
      <w:r>
        <w:rPr>
          <w:b/>
          <w:bCs/>
          <w:color w:val="000000"/>
        </w:rPr>
      </w:r>
    </w:p>
    <w:p>
      <w:pPr>
        <w:pStyle w:val="914"/>
        <w:spacing w:before="0" w:beforeAutospacing="0" w:after="0" w:afterAutospacing="0"/>
        <w:ind w:left="284" w:firstLine="709"/>
        <w:jc w:val="both"/>
      </w:pPr>
      <w:r>
        <w:rPr>
          <w:color w:val="000000"/>
          <w:sz w:val="22"/>
          <w:szCs w:val="22"/>
        </w:rPr>
        <w:t xml:space="preserve">Ход оказания услуг и соблюдение технологической дисциплины осуществляется уполномоченным представителем Заказчика в соответствии с объемом оказания услуг и анализом ежемесячной деятельности организации Исполнителя. </w:t>
      </w:r>
      <w:r>
        <w:rPr>
          <w:color w:val="000000"/>
        </w:rPr>
        <w:t xml:space="preserve">До подписания акта об оказании услуг акты должны быть завизированы: главным специалистом отдела материально хозяйственного обеспечения. Подписываются </w:t>
      </w:r>
      <w:r>
        <w:rPr>
          <w:color w:val="000000"/>
        </w:rPr>
        <w:t xml:space="preserve">Директором по логистике и МТО – начальником управления филиала. Услуги считаются оказанными после подписания акта об оказании услуг, отчетов о фактически оказанных услугах и отчет о материалах</w:t>
      </w:r>
      <w:r>
        <w:rPr>
          <w:rFonts w:ascii="Calibri" w:hAnsi="Calibri" w:cs="Calibri"/>
          <w:color w:val="000000"/>
        </w:rPr>
        <w:t xml:space="preserve">.</w:t>
      </w:r>
    </w:p>
    <w:p>
      <w:pPr>
        <w:pStyle w:val="914"/>
        <w:spacing w:before="0" w:beforeAutospacing="0" w:after="0" w:afterAutospacing="0"/>
        <w:ind w:left="284" w:firstLine="709"/>
        <w:jc w:val="both"/>
      </w:pPr>
      <w:r>
        <w:rPr>
          <w:color w:val="000000"/>
          <w:sz w:val="22"/>
          <w:szCs w:val="22"/>
        </w:rPr>
        <w:t xml:space="preserve">Отчетная документация о фактически оказанных услугах, подтверждающая оказание услуг, должна содержать письме</w:t>
      </w:r>
      <w:r>
        <w:rPr>
          <w:color w:val="000000"/>
          <w:sz w:val="22"/>
          <w:szCs w:val="22"/>
        </w:rPr>
        <w:t xml:space="preserve">нный отчет по объекту, содержащий информацию по видам услуг, объеме выполненных услуг (площадь или иное) по каждому виду услуг, количество раз (дней) выполнения данных услуг за месяц (отчетный период), визу представителя Заказчика ответственного за объект.</w:t>
      </w:r>
    </w:p>
    <w:p>
      <w:pPr>
        <w:pStyle w:val="914"/>
        <w:spacing w:before="0" w:beforeAutospacing="0" w:after="0" w:afterAutospacing="0"/>
        <w:ind w:left="284" w:firstLine="709"/>
        <w:jc w:val="both"/>
      </w:pPr>
      <w:r>
        <w:rPr>
          <w:rFonts w:ascii="Calibri" w:hAnsi="Calibri" w:cs="Calibri"/>
          <w:color w:val="000000"/>
        </w:rPr>
        <w:t xml:space="preserve">  </w:t>
      </w:r>
      <w:r>
        <w:rPr>
          <w:color w:val="000000"/>
        </w:rPr>
        <w:t xml:space="preserve">Приемк</w:t>
      </w:r>
      <w:r>
        <w:rPr>
          <w:color w:val="000000"/>
        </w:rPr>
        <w:t xml:space="preserve">а оказанных услуг осуществляется после получения актов, отчетов об оказании услуг и отчета о материалах. Оценка качества оказания услуг производится уполномоченным представителем Заказчика ежедневно на объекте с постоянным присутствием персонала Заказчика.</w:t>
      </w:r>
    </w:p>
    <w:p>
      <w:pPr>
        <w:pStyle w:val="914"/>
        <w:spacing w:before="0" w:beforeAutospacing="0" w:after="0" w:afterAutospacing="0"/>
        <w:ind w:left="284" w:right="125" w:firstLine="850"/>
        <w:jc w:val="both"/>
      </w:pPr>
      <w:r>
        <w:rPr>
          <w:color w:val="000000"/>
        </w:rPr>
        <w:t xml:space="preserve">Перечень использованных материалов для выполнения услуг должен соответствовать нормам расхода материалов, разработанных в установленном законодательством порядке.</w:t>
      </w:r>
    </w:p>
    <w:p>
      <w:pPr>
        <w:pStyle w:val="914"/>
        <w:spacing w:before="0" w:beforeAutospacing="0" w:after="0" w:afterAutospacing="0"/>
        <w:ind w:left="284" w:firstLine="850"/>
        <w:jc w:val="both"/>
      </w:pPr>
      <w:r>
        <w:rPr>
          <w:color w:val="000000"/>
        </w:rPr>
        <w:t xml:space="preserve">Фактически оказанные услуги по объекту определяются по ведомостям объемов, формируемым из перечисленных в перечне единичных видов услуг в Приложении№ 1.</w:t>
      </w:r>
    </w:p>
    <w:p>
      <w:pPr>
        <w:pStyle w:val="914"/>
        <w:spacing w:before="0" w:beforeAutospacing="0" w:after="0" w:afterAutospacing="0"/>
        <w:ind w:left="284" w:firstLine="850"/>
      </w:pPr>
      <w:r>
        <w:rPr>
          <w:color w:val="000000"/>
        </w:rPr>
        <w:t xml:space="preserve">Стоимость услуг определяется на основании р</w:t>
      </w:r>
      <w:r>
        <w:rPr>
          <w:color w:val="000000"/>
        </w:rPr>
        <w:t xml:space="preserve">асчета, который должен быть составлен в соответствии с составом и технологией оказания услуг, указанных в ведомости объемов, с использованием стоимостей единичных видов услуг, приведенных в Приложении №2 и с учетом тендерного снижения Победителя на торгах.</w:t>
      </w:r>
    </w:p>
    <w:p>
      <w:pPr>
        <w:pStyle w:val="914"/>
        <w:tabs>
          <w:tab w:val="left" w:pos="0" w:leader="none"/>
          <w:tab w:val="left" w:pos="1134" w:leader="none"/>
          <w:tab w:val="left" w:pos="1276" w:leader="none"/>
          <w:tab w:val="left" w:pos="1701" w:leader="none"/>
        </w:tabs>
        <w:spacing w:before="60" w:beforeAutospacing="0" w:after="60" w:afterAutospacing="0"/>
        <w:ind w:left="284" w:firstLine="850"/>
        <w:jc w:val="both"/>
      </w:pPr>
      <w:r>
        <w:rPr>
          <w:color w:val="000000"/>
        </w:rPr>
        <w:t xml:space="preserve">Суммарная стоимость по актам выполненных работ не может превышать общую стоимость по договору.</w:t>
      </w:r>
    </w:p>
    <w:p>
      <w:pPr>
        <w:pStyle w:val="914"/>
        <w:spacing w:before="0" w:beforeAutospacing="0" w:after="0" w:afterAutospacing="0"/>
        <w:ind w:left="284" w:firstLine="850"/>
        <w:jc w:val="both"/>
      </w:pPr>
      <w:r>
        <w:rPr>
          <w:color w:val="000000"/>
        </w:rPr>
        <w:t xml:space="preserve">К оплате принимаются акты выполненных услуг: </w:t>
      </w:r>
    </w:p>
    <w:p>
      <w:pPr>
        <w:pStyle w:val="914"/>
        <w:spacing w:before="0" w:beforeAutospacing="0" w:after="0" w:afterAutospacing="0"/>
        <w:ind w:left="284" w:firstLine="850"/>
        <w:jc w:val="both"/>
      </w:pPr>
      <w:r>
        <w:rPr>
          <w:rFonts w:ascii="Calibri" w:hAnsi="Calibri" w:cs="Calibri"/>
          <w:color w:val="000000"/>
          <w:sz w:val="28"/>
          <w:szCs w:val="28"/>
        </w:rPr>
        <w:t xml:space="preserve">- </w:t>
      </w:r>
      <w:r>
        <w:rPr>
          <w:color w:val="000000"/>
        </w:rPr>
        <w:t xml:space="preserve">при условии подтверждения стоимости материалов копиями документов, подтверждающими факт покупки Исполнителем данного материала. </w:t>
      </w:r>
    </w:p>
    <w:p>
      <w:pPr>
        <w:pStyle w:val="914"/>
        <w:spacing w:before="0" w:beforeAutospacing="0" w:after="0" w:afterAutospacing="0"/>
        <w:ind w:left="284" w:firstLine="850"/>
        <w:jc w:val="both"/>
        <w:rPr>
          <w:color w:val="000000"/>
        </w:rPr>
      </w:pPr>
      <w:r>
        <w:rPr>
          <w:color w:val="000000"/>
        </w:rPr>
        <w:t xml:space="preserve">Оплата оказанных услуг производится Заказчиком в течение 30-ти рабочих (7-семи рабочих дней для субъектов МСП) со дня подписания Сторонами актов сдачи-приёмки оказанных услуг. Авансирование не предусмотрено.</w:t>
      </w:r>
      <w:r>
        <w:rPr>
          <w:color w:val="000000"/>
        </w:rPr>
      </w:r>
      <w:r>
        <w:rPr>
          <w:color w:val="000000"/>
        </w:rPr>
      </w:r>
    </w:p>
    <w:p>
      <w:pPr>
        <w:pStyle w:val="914"/>
        <w:spacing w:before="0" w:beforeAutospacing="0" w:after="0" w:afterAutospacing="0"/>
        <w:ind w:left="567"/>
        <w:jc w:val="both"/>
        <w:rPr>
          <w:color w:val="000000"/>
        </w:rPr>
      </w:pPr>
      <w:r>
        <w:rPr>
          <w:color w:val="000000"/>
        </w:rPr>
      </w:r>
      <w:r>
        <w:rPr>
          <w:color w:val="000000"/>
        </w:rPr>
      </w:r>
      <w:r>
        <w:rPr>
          <w:color w:val="000000"/>
        </w:rPr>
      </w:r>
    </w:p>
    <w:p>
      <w:pPr>
        <w:pStyle w:val="914"/>
        <w:spacing w:before="0" w:beforeAutospacing="0" w:after="0" w:afterAutospacing="0"/>
        <w:ind w:left="567"/>
        <w:jc w:val="both"/>
        <w:rPr>
          <w:rStyle w:val="916"/>
          <w:b/>
          <w:bCs/>
          <w:color w:val="000000"/>
        </w:rPr>
      </w:pPr>
      <w:r>
        <w:rPr>
          <w:b/>
        </w:rPr>
        <w:t xml:space="preserve">8</w:t>
      </w:r>
      <w:r>
        <w:t xml:space="preserve">. </w:t>
      </w:r>
      <w:r>
        <w:rPr>
          <w:rStyle w:val="916"/>
          <w:b/>
          <w:bCs/>
          <w:color w:val="000000"/>
        </w:rPr>
        <w:t xml:space="preserve">Требуемые сроки оказания услуг</w:t>
      </w:r>
      <w:r>
        <w:rPr>
          <w:rStyle w:val="916"/>
          <w:b/>
          <w:bCs/>
          <w:color w:val="000000"/>
        </w:rPr>
      </w:r>
      <w:r>
        <w:rPr>
          <w:rStyle w:val="916"/>
          <w:b/>
          <w:bCs/>
          <w:color w:val="000000"/>
        </w:rPr>
      </w:r>
    </w:p>
    <w:p>
      <w:pPr>
        <w:pStyle w:val="914"/>
        <w:spacing w:before="0" w:beforeAutospacing="0" w:after="0" w:afterAutospacing="0"/>
        <w:ind w:left="567"/>
        <w:jc w:val="both"/>
      </w:pPr>
    </w:p>
    <w:p>
      <w:pPr>
        <w:pStyle w:val="913"/>
        <w:spacing w:before="0" w:beforeAutospacing="0" w:after="0" w:afterAutospacing="0"/>
        <w:ind w:firstLine="709"/>
        <w:jc w:val="both"/>
      </w:pPr>
      <w:r>
        <w:rPr>
          <w:spacing w:val="-3"/>
        </w:rPr>
        <w:t xml:space="preserve"> </w:t>
      </w:r>
      <w:r>
        <w:t xml:space="preserve">       </w:t>
      </w:r>
      <w:r>
        <w:rPr>
          <w:color w:val="000000"/>
        </w:rPr>
        <w:t xml:space="preserve">Услуги должны оказываться с момента подписания договора, </w:t>
      </w:r>
      <w:r>
        <w:rPr>
          <w:color w:val="000000"/>
        </w:rPr>
        <w:t xml:space="preserve">в течении 24 месяцев</w:t>
      </w:r>
      <w:r>
        <w:rPr>
          <w:color w:val="000000"/>
        </w:rPr>
        <w:t xml:space="preserve">.</w:t>
      </w:r>
    </w:p>
    <w:p>
      <w:pPr>
        <w:tabs>
          <w:tab w:val="center" w:pos="4558" w:leader="none"/>
        </w:tabs>
        <w:ind w:right="238"/>
        <w:jc w:val="both"/>
      </w:pPr>
    </w:p>
    <w:p>
      <w:r>
        <w:t xml:space="preserve">Приложения:</w:t>
      </w:r>
      <w:r>
        <w:tab/>
      </w:r>
    </w:p>
    <w:p>
      <w:pPr>
        <w:ind w:firstLine="567"/>
        <w:jc w:val="both"/>
      </w:pPr>
      <w:r>
        <w:t xml:space="preserve">Приложение №1 «</w:t>
      </w:r>
      <w:r>
        <w:rPr>
          <w:rFonts w:cs="Times New Roman"/>
        </w:rPr>
        <w:t xml:space="preserve">Перечень единичных видов и ориентировочные объемы услуг по уборке помещений и прилегающих территорий ЮЭС»</w:t>
      </w:r>
      <w:r>
        <w:t xml:space="preserve">;</w:t>
      </w:r>
    </w:p>
    <w:p>
      <w:pPr>
        <w:ind w:firstLine="567"/>
        <w:jc w:val="both"/>
      </w:pPr>
      <w:r>
        <w:t xml:space="preserve">Приложение №2 «Перечень стоимостей единичных видов услуг по содержанию зданий и территорий</w:t>
      </w:r>
      <w:r>
        <w:rPr>
          <w:rFonts w:cs="Times New Roman"/>
        </w:rPr>
        <w:t xml:space="preserve">»</w:t>
      </w:r>
      <w:r>
        <w:t xml:space="preserve">;</w:t>
      </w:r>
    </w:p>
    <w:p>
      <w:pPr>
        <w:ind w:firstLine="567"/>
        <w:jc w:val="both"/>
      </w:pPr>
      <w:r>
        <w:t xml:space="preserve">Приложение №3 «Перечень и ориентировочный объем материалов»;</w:t>
      </w:r>
    </w:p>
    <w:p>
      <w:pPr>
        <w:shd w:val="clear" w:color="auto" w:fill="ffffff"/>
        <w:tabs>
          <w:tab w:val="left" w:pos="504" w:leader="none"/>
        </w:tabs>
        <w:spacing w:before="50"/>
        <w:ind w:right="7"/>
        <w:jc w:val="both"/>
        <w:rPr>
          <w:rFonts w:cs="Times New Roman"/>
        </w:rPr>
      </w:pPr>
      <w:r>
        <w:rPr>
          <w:rFonts w:cs="Times New Roman"/>
        </w:rPr>
        <w:tab/>
        <w:t xml:space="preserve"> Приложение №4 «Перечень объектов и объемы, подлежащие уборке административных зданий, помещений и территории Южных электрических сетей»;</w:t>
      </w:r>
      <w:r>
        <w:rPr>
          <w:rFonts w:cs="Times New Roman"/>
        </w:rPr>
      </w:r>
      <w:r>
        <w:rPr>
          <w:rFonts w:cs="Times New Roman"/>
        </w:rPr>
      </w:r>
    </w:p>
    <w:p>
      <w:pPr>
        <w:shd w:val="clear" w:color="auto" w:fill="ffffff"/>
        <w:tabs>
          <w:tab w:val="left" w:pos="504" w:leader="none"/>
        </w:tabs>
        <w:spacing w:before="50"/>
        <w:ind w:right="7"/>
        <w:jc w:val="both"/>
        <w:rPr>
          <w:rFonts w:cs="Times New Roman"/>
        </w:rPr>
      </w:pPr>
      <w:r>
        <w:rPr>
          <w:rFonts w:cs="Times New Roman"/>
        </w:rPr>
        <w:tab/>
        <w:t xml:space="preserve"> Приложение №5 «Перечень объектов и объемы, подлежащие уборке производственных зданий, помещений и территорий Южных электрических сетей». </w:t>
      </w:r>
      <w:r>
        <w:rPr>
          <w:rFonts w:cs="Times New Roman"/>
        </w:rPr>
      </w:r>
      <w:r>
        <w:rPr>
          <w:rFonts w:cs="Times New Roman"/>
        </w:rPr>
      </w:r>
    </w:p>
    <w:p>
      <w:pPr>
        <w:shd w:val="clear" w:color="auto" w:fill="ffffff"/>
        <w:tabs>
          <w:tab w:val="left" w:pos="504" w:leader="none"/>
        </w:tabs>
        <w:spacing w:before="50"/>
        <w:ind w:left="567" w:right="7"/>
        <w:jc w:val="both"/>
        <w:rPr>
          <w:rFonts w:cs="Times New Roman"/>
        </w:rPr>
      </w:pPr>
      <w:r>
        <w:rPr>
          <w:rFonts w:cs="Times New Roman"/>
        </w:rPr>
        <w:t xml:space="preserve">Приложение №6 «Форма договора».</w:t>
      </w:r>
      <w:r>
        <w:rPr>
          <w:rFonts w:cs="Times New Roman"/>
        </w:rPr>
      </w:r>
      <w:r>
        <w:rPr>
          <w:rFonts w:cs="Times New Roman"/>
        </w:rPr>
      </w:r>
    </w:p>
    <w:p>
      <w:pPr>
        <w:shd w:val="clear" w:color="auto" w:fill="ffffff"/>
        <w:tabs>
          <w:tab w:val="left" w:pos="504" w:leader="none"/>
        </w:tabs>
        <w:spacing w:before="50"/>
        <w:ind w:right="7"/>
        <w:jc w:val="both"/>
        <w:rPr>
          <w:rFonts w:cs="Times New Roman"/>
        </w:rPr>
      </w:pPr>
      <w:r>
        <w:rPr>
          <w:rFonts w:cs="Times New Roman"/>
        </w:rPr>
        <w:tab/>
      </w:r>
      <w:r>
        <w:rPr>
          <w:rFonts w:cs="Times New Roman"/>
        </w:rPr>
        <w:tab/>
      </w:r>
      <w:r>
        <w:rPr>
          <w:rFonts w:cs="Times New Roman"/>
        </w:rPr>
        <w:tab/>
        <w:t xml:space="preserve">                      </w:t>
      </w:r>
      <w:r>
        <w:rPr>
          <w:rFonts w:cs="Times New Roman"/>
        </w:rPr>
      </w:r>
      <w:r>
        <w:rPr>
          <w:rFonts w:cs="Times New Roman"/>
        </w:rPr>
      </w:r>
    </w:p>
    <w:p>
      <w:pPr>
        <w:shd w:val="clear" w:color="auto" w:fill="ffffff"/>
        <w:tabs>
          <w:tab w:val="left" w:pos="504" w:leader="none"/>
        </w:tabs>
        <w:spacing w:before="50"/>
        <w:ind w:right="7"/>
        <w:jc w:val="both"/>
      </w:pPr>
      <w:r>
        <w:t xml:space="preserve">  </w:t>
      </w:r>
    </w:p>
    <w:p>
      <w:pPr>
        <w:shd w:val="clear" w:color="auto" w:fill="ffffff"/>
        <w:tabs>
          <w:tab w:val="left" w:pos="504" w:leader="none"/>
        </w:tabs>
        <w:spacing w:before="50"/>
        <w:ind w:right="7"/>
        <w:jc w:val="both"/>
      </w:pPr>
      <w:r>
        <w:t xml:space="preserve">Согласовано:</w:t>
      </w:r>
    </w:p>
    <w:p>
      <w:pPr>
        <w:shd w:val="clear" w:color="auto" w:fill="ffffff"/>
        <w:tabs>
          <w:tab w:val="left" w:pos="504" w:leader="none"/>
        </w:tabs>
        <w:spacing w:before="50"/>
        <w:ind w:right="7"/>
        <w:jc w:val="both"/>
      </w:pPr>
    </w:p>
    <w:p>
      <w:pPr>
        <w:shd w:val="clear" w:color="auto" w:fill="ffffff"/>
        <w:tabs>
          <w:tab w:val="left" w:pos="504" w:leader="none"/>
        </w:tabs>
        <w:spacing w:before="50"/>
        <w:ind w:right="7"/>
        <w:jc w:val="both"/>
      </w:pPr>
      <w:r>
        <w:t xml:space="preserve">Директор по </w:t>
      </w:r>
      <w:r>
        <w:t xml:space="preserve">ЛиМТО</w:t>
      </w:r>
      <w:r>
        <w:t xml:space="preserve"> – начальник управления </w:t>
      </w:r>
      <w:r>
        <w:t xml:space="preserve">ЛиМТО</w:t>
      </w:r>
    </w:p>
    <w:p>
      <w:pPr>
        <w:shd w:val="clear" w:color="auto" w:fill="ffffff"/>
        <w:tabs>
          <w:tab w:val="left" w:pos="504" w:leader="none"/>
        </w:tabs>
        <w:spacing w:before="50"/>
        <w:ind w:right="7"/>
        <w:jc w:val="both"/>
      </w:pPr>
      <w:r>
        <w:t xml:space="preserve">ПАО «Россети Московский регион»-Южные электрические сети </w:t>
      </w:r>
      <w:r>
        <w:tab/>
        <w:t xml:space="preserve">                       Р.А. </w:t>
      </w:r>
      <w:r>
        <w:t xml:space="preserve">Тугов</w:t>
      </w:r>
    </w:p>
    <w:p>
      <w:pPr>
        <w:widowControl/>
        <w:spacing w:after="200" w:line="276" w:lineRule="auto"/>
      </w:pPr>
    </w:p>
    <w:sectPr>
      <w:footerReference w:type="default" r:id="rId9"/>
      <w:footnotePr/>
      <w:endnotePr/>
      <w:type w:val="nextPage"/>
      <w:pgSz w:w="11906" w:h="16838" w:orient="portrait"/>
      <w:pgMar w:top="720" w:right="720" w:bottom="720" w:left="720"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Cambria">
    <w:panose1 w:val="02040503050406030204"/>
  </w:font>
  <w:font w:name="Calibri">
    <w:panose1 w:val="020F0502020204030204"/>
  </w:font>
  <w:font w:name="Tahoma">
    <w:panose1 w:val="020B0604030504040204"/>
  </w:font>
  <w:font w:name="Arial">
    <w:panose1 w:val="020B0604020202020204"/>
  </w:font>
  <w:font w:name="Arial Unicode MS">
    <w:panose1 w:val="020B0604020202020204"/>
  </w:font>
  <w:font w:name="Times New Roman">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4"/>
      <w:jc w:val="right"/>
    </w:pPr>
    <w:r>
      <w:fldChar w:fldCharType="begin"/>
    </w:r>
    <w:r>
      <w:instrText xml:space="preserve">PAGE   \* MERGEFORMAT</w:instrText>
    </w:r>
    <w:r>
      <w:fldChar w:fldCharType="separate"/>
    </w:r>
    <w:r>
      <w:t xml:space="preserve">6</w:t>
    </w:r>
    <w:r>
      <w:fldChar w:fldCharType="end"/>
    </w:r>
  </w:p>
  <w:p>
    <w:pPr>
      <w:pStyle w:val="89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734" w:hanging="450"/>
      </w:pPr>
      <w:rPr>
        <w:rFonts w:hint="default"/>
      </w:rPr>
    </w:lvl>
    <w:lvl w:ilvl="2">
      <w:start w:val="1"/>
      <w:numFmt w:val="decimal"/>
      <w:isLgl/>
      <w:suff w:val="tab"/>
      <w:lvlText w:val="%1.%2.%3."/>
      <w:lvlJc w:val="left"/>
      <w:pPr>
        <w:ind w:left="1080" w:hanging="720"/>
      </w:pPr>
      <w:rPr>
        <w:rFonts w:hint="default"/>
      </w:rPr>
    </w:lvl>
    <w:lvl w:ilvl="3">
      <w:start w:val="1"/>
      <w:numFmt w:val="decimal"/>
      <w:isLgl/>
      <w:suff w:val="tab"/>
      <w:lvlText w:val="%1.%2.%3.%4."/>
      <w:lvlJc w:val="left"/>
      <w:pPr>
        <w:ind w:left="1080" w:hanging="72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440" w:hanging="1080"/>
      </w:pPr>
      <w:rPr>
        <w:rFonts w:hint="default"/>
      </w:rPr>
    </w:lvl>
    <w:lvl w:ilvl="6">
      <w:start w:val="1"/>
      <w:numFmt w:val="decimal"/>
      <w:isLgl/>
      <w:suff w:val="tab"/>
      <w:lvlText w:val="%1.%2.%3.%4.%5.%6.%7."/>
      <w:lvlJc w:val="left"/>
      <w:pPr>
        <w:ind w:left="1800" w:hanging="1440"/>
      </w:pPr>
      <w:rPr>
        <w:rFonts w:hint="default"/>
      </w:rPr>
    </w:lvl>
    <w:lvl w:ilvl="7">
      <w:start w:val="1"/>
      <w:numFmt w:val="decimal"/>
      <w:isLgl/>
      <w:suff w:val="tab"/>
      <w:lvlText w:val="%1.%2.%3.%4.%5.%6.%7.%8."/>
      <w:lvlJc w:val="left"/>
      <w:pPr>
        <w:ind w:left="1800" w:hanging="1440"/>
      </w:pPr>
      <w:rPr>
        <w:rFonts w:hint="default"/>
      </w:rPr>
    </w:lvl>
    <w:lvl w:ilvl="8">
      <w:start w:val="1"/>
      <w:numFmt w:val="decimal"/>
      <w:isLgl/>
      <w:suff w:val="tab"/>
      <w:lvlText w:val="%1.%2.%3.%4.%5.%6.%7.%8.%9."/>
      <w:lvlJc w:val="left"/>
      <w:pPr>
        <w:ind w:left="2160" w:hanging="1800"/>
      </w:pPr>
      <w:rPr>
        <w:rFonts w:hint="default"/>
      </w:rPr>
    </w:lvl>
  </w:abstractNum>
  <w:abstractNum w:abstractNumId="1">
    <w:multiLevelType w:val="hybridMultilevel"/>
    <w:lvl w:ilvl="0">
      <w:start w:val="1"/>
      <w:numFmt w:val="decimal"/>
      <w:isLgl w:val="false"/>
      <w:suff w:val="tab"/>
      <w:lvlText w:val="%1."/>
      <w:lvlJc w:val="left"/>
      <w:pPr>
        <w:tabs>
          <w:tab w:val="num" w:pos="720" w:leader="none"/>
        </w:tabs>
        <w:ind w:left="720" w:hanging="360"/>
      </w:pPr>
    </w:lvl>
    <w:lvl w:ilvl="1">
      <w:start w:val="1"/>
      <w:numFmt w:val="decimal"/>
      <w:isLgl w:val="false"/>
      <w:suff w:val="tab"/>
      <w:lvlText w:val="%2."/>
      <w:lvlJc w:val="left"/>
      <w:pPr>
        <w:tabs>
          <w:tab w:val="num" w:pos="1440" w:leader="none"/>
        </w:tabs>
        <w:ind w:left="1440" w:hanging="360"/>
      </w:pPr>
    </w:lvl>
    <w:lvl w:ilvl="2">
      <w:start w:val="1"/>
      <w:numFmt w:val="decimal"/>
      <w:isLgl w:val="false"/>
      <w:suff w:val="tab"/>
      <w:lvlText w:val="%3."/>
      <w:lvlJc w:val="left"/>
      <w:pPr>
        <w:tabs>
          <w:tab w:val="num" w:pos="2160" w:leader="none"/>
        </w:tabs>
        <w:ind w:left="2160" w:hanging="360"/>
      </w:pPr>
    </w:lvl>
    <w:lvl w:ilvl="3">
      <w:start w:val="1"/>
      <w:numFmt w:val="decimal"/>
      <w:isLgl w:val="false"/>
      <w:suff w:val="tab"/>
      <w:lvlText w:val="%4."/>
      <w:lvlJc w:val="left"/>
      <w:pPr>
        <w:tabs>
          <w:tab w:val="num" w:pos="2880" w:leader="none"/>
        </w:tabs>
        <w:ind w:left="2880" w:hanging="360"/>
      </w:pPr>
    </w:lvl>
    <w:lvl w:ilvl="4">
      <w:start w:val="1"/>
      <w:numFmt w:val="decimal"/>
      <w:isLgl w:val="false"/>
      <w:suff w:val="tab"/>
      <w:lvlText w:val="%5."/>
      <w:lvlJc w:val="left"/>
      <w:pPr>
        <w:tabs>
          <w:tab w:val="num" w:pos="3600" w:leader="none"/>
        </w:tabs>
        <w:ind w:left="3600" w:hanging="360"/>
      </w:pPr>
    </w:lvl>
    <w:lvl w:ilvl="5">
      <w:start w:val="1"/>
      <w:numFmt w:val="decimal"/>
      <w:isLgl w:val="false"/>
      <w:suff w:val="tab"/>
      <w:lvlText w:val="%6."/>
      <w:lvlJc w:val="left"/>
      <w:pPr>
        <w:tabs>
          <w:tab w:val="num" w:pos="4320" w:leader="none"/>
        </w:tabs>
        <w:ind w:left="4320" w:hanging="360"/>
      </w:pPr>
    </w:lvl>
    <w:lvl w:ilvl="6">
      <w:start w:val="1"/>
      <w:numFmt w:val="decimal"/>
      <w:isLgl w:val="false"/>
      <w:suff w:val="tab"/>
      <w:lvlText w:val="%7."/>
      <w:lvlJc w:val="left"/>
      <w:pPr>
        <w:tabs>
          <w:tab w:val="num" w:pos="5040" w:leader="none"/>
        </w:tabs>
        <w:ind w:left="5040" w:hanging="360"/>
      </w:pPr>
    </w:lvl>
    <w:lvl w:ilvl="7">
      <w:start w:val="1"/>
      <w:numFmt w:val="decimal"/>
      <w:isLgl w:val="false"/>
      <w:suff w:val="tab"/>
      <w:lvlText w:val="%8."/>
      <w:lvlJc w:val="left"/>
      <w:pPr>
        <w:tabs>
          <w:tab w:val="num" w:pos="5760" w:leader="none"/>
        </w:tabs>
        <w:ind w:left="5760" w:hanging="360"/>
      </w:pPr>
    </w:lvl>
    <w:lvl w:ilvl="8">
      <w:start w:val="1"/>
      <w:numFmt w:val="decimal"/>
      <w:isLgl w:val="false"/>
      <w:suff w:val="tab"/>
      <w:lvlText w:val="%9."/>
      <w:lvlJc w:val="left"/>
      <w:pPr>
        <w:tabs>
          <w:tab w:val="num" w:pos="6480" w:leader="none"/>
        </w:tabs>
        <w:ind w:left="6480" w:hanging="360"/>
      </w:pPr>
    </w:lvl>
  </w:abstractNum>
  <w:abstractNum w:abstractNumId="2">
    <w:multiLevelType w:val="hybridMultilevel"/>
    <w:lvl w:ilvl="0">
      <w:start w:val="1"/>
      <w:numFmt w:val="decimal"/>
      <w:isLgl w:val="false"/>
      <w:suff w:val="tab"/>
      <w:lvlText w:val="%1."/>
      <w:lvlJc w:val="left"/>
      <w:pPr>
        <w:ind w:left="405" w:hanging="405"/>
      </w:pPr>
      <w:rPr>
        <w:rFonts w:hint="default"/>
      </w:rPr>
    </w:lvl>
    <w:lvl w:ilvl="1">
      <w:start w:val="2"/>
      <w:numFmt w:val="decimal"/>
      <w:isLgl w:val="false"/>
      <w:suff w:val="tab"/>
      <w:lvlText w:val="4.%2."/>
      <w:lvlJc w:val="left"/>
      <w:pPr>
        <w:ind w:left="1114" w:hanging="405"/>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3">
    <w:multiLevelType w:val="hybridMultilevel"/>
    <w:lvl w:ilvl="0">
      <w:start w:val="1"/>
      <w:numFmt w:val="decimal"/>
      <w:isLgl w:val="false"/>
      <w:suff w:val="tab"/>
      <w:lvlText w:val="%1."/>
      <w:lvlJc w:val="left"/>
      <w:pPr>
        <w:ind w:left="1249" w:hanging="360"/>
      </w:pPr>
      <w:rPr>
        <w:rFonts w:hint="default"/>
        <w:b/>
      </w:rPr>
    </w:lvl>
    <w:lvl w:ilvl="1">
      <w:start w:val="1"/>
      <w:numFmt w:val="lowerLetter"/>
      <w:isLgl w:val="false"/>
      <w:suff w:val="tab"/>
      <w:lvlText w:val="%2."/>
      <w:lvlJc w:val="left"/>
      <w:pPr>
        <w:ind w:left="1969" w:hanging="360"/>
      </w:pPr>
    </w:lvl>
    <w:lvl w:ilvl="2">
      <w:start w:val="1"/>
      <w:numFmt w:val="lowerRoman"/>
      <w:isLgl w:val="false"/>
      <w:suff w:val="tab"/>
      <w:lvlText w:val="%3."/>
      <w:lvlJc w:val="right"/>
      <w:pPr>
        <w:ind w:left="2689" w:hanging="180"/>
      </w:pPr>
    </w:lvl>
    <w:lvl w:ilvl="3">
      <w:start w:val="1"/>
      <w:numFmt w:val="decimal"/>
      <w:isLgl w:val="false"/>
      <w:suff w:val="tab"/>
      <w:lvlText w:val="%4."/>
      <w:lvlJc w:val="left"/>
      <w:pPr>
        <w:ind w:left="3409" w:hanging="360"/>
      </w:pPr>
    </w:lvl>
    <w:lvl w:ilvl="4">
      <w:start w:val="1"/>
      <w:numFmt w:val="lowerLetter"/>
      <w:isLgl w:val="false"/>
      <w:suff w:val="tab"/>
      <w:lvlText w:val="%5."/>
      <w:lvlJc w:val="left"/>
      <w:pPr>
        <w:ind w:left="4129" w:hanging="360"/>
      </w:pPr>
    </w:lvl>
    <w:lvl w:ilvl="5">
      <w:start w:val="1"/>
      <w:numFmt w:val="lowerRoman"/>
      <w:isLgl w:val="false"/>
      <w:suff w:val="tab"/>
      <w:lvlText w:val="%6."/>
      <w:lvlJc w:val="right"/>
      <w:pPr>
        <w:ind w:left="4849" w:hanging="180"/>
      </w:pPr>
    </w:lvl>
    <w:lvl w:ilvl="6">
      <w:start w:val="1"/>
      <w:numFmt w:val="decimal"/>
      <w:isLgl w:val="false"/>
      <w:suff w:val="tab"/>
      <w:lvlText w:val="%7."/>
      <w:lvlJc w:val="left"/>
      <w:pPr>
        <w:ind w:left="5569" w:hanging="360"/>
      </w:pPr>
    </w:lvl>
    <w:lvl w:ilvl="7">
      <w:start w:val="1"/>
      <w:numFmt w:val="lowerLetter"/>
      <w:isLgl w:val="false"/>
      <w:suff w:val="tab"/>
      <w:lvlText w:val="%8."/>
      <w:lvlJc w:val="left"/>
      <w:pPr>
        <w:ind w:left="6289" w:hanging="360"/>
      </w:pPr>
    </w:lvl>
    <w:lvl w:ilvl="8">
      <w:start w:val="1"/>
      <w:numFmt w:val="lowerRoman"/>
      <w:isLgl w:val="false"/>
      <w:suff w:val="tab"/>
      <w:lvlText w:val="%9."/>
      <w:lvlJc w:val="right"/>
      <w:pPr>
        <w:ind w:left="7009" w:hanging="180"/>
      </w:pPr>
    </w:lvl>
  </w:abstractNum>
  <w:abstractNum w:abstractNumId="4">
    <w:multiLevelType w:val="hybridMultilevel"/>
    <w:lvl w:ilvl="0">
      <w:start w:val="2"/>
      <w:numFmt w:val="decimal"/>
      <w:isLgl w:val="false"/>
      <w:suff w:val="tab"/>
      <w:lvlText w:val="%1"/>
      <w:lvlJc w:val="left"/>
      <w:pPr>
        <w:ind w:left="360" w:hanging="360"/>
      </w:pPr>
      <w:rPr>
        <w:rFonts w:hint="default"/>
      </w:rPr>
    </w:lvl>
    <w:lvl w:ilvl="1">
      <w:start w:val="1"/>
      <w:numFmt w:val="decimal"/>
      <w:isLgl w:val="false"/>
      <w:suff w:val="tab"/>
      <w:lvlText w:val="%1.%2"/>
      <w:lvlJc w:val="left"/>
      <w:pPr>
        <w:ind w:left="1069" w:hanging="36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5">
    <w:multiLevelType w:val="hybridMultilevel"/>
    <w:lvl w:ilvl="0">
      <w:start w:val="1"/>
      <w:numFmt w:val="decimal"/>
      <w:isLgl w:val="false"/>
      <w:suff w:val="tab"/>
      <w:lvlText w:val="%1."/>
      <w:lvlJc w:val="left"/>
      <w:pPr>
        <w:ind w:left="1069" w:hanging="360"/>
      </w:pPr>
      <w:rPr>
        <w:rFonts w:hint="default"/>
        <w:b/>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6">
    <w:multiLevelType w:val="hybridMultilevel"/>
    <w:lvl w:ilvl="0">
      <w:start w:val="1"/>
      <w:numFmt w:val="bullet"/>
      <w:isLgl w:val="false"/>
      <w:suff w:val="tab"/>
      <w:lvlText w:val="-"/>
      <w:lvlJc w:val="left"/>
      <w:pPr>
        <w:tabs>
          <w:tab w:val="num" w:pos="360" w:leader="none"/>
        </w:tabs>
        <w:ind w:left="360" w:hanging="360"/>
      </w:pPr>
      <w:rPr>
        <w:rFonts w:hint="default" w:ascii="Times New Roman" w:hAnsi="Times New Roman" w:eastAsia="Times New Roman"/>
        <w:sz w:val="20"/>
      </w:rPr>
    </w:lvl>
    <w:lvl w:ilvl="1">
      <w:start w:val="1"/>
      <w:numFmt w:val="bullet"/>
      <w:isLgl w:val="false"/>
      <w:suff w:val="tab"/>
      <w:lvlText w:val="o"/>
      <w:lvlJc w:val="left"/>
      <w:pPr>
        <w:tabs>
          <w:tab w:val="num" w:pos="1440" w:leader="none"/>
        </w:tabs>
        <w:ind w:left="1440" w:hanging="360"/>
      </w:pPr>
      <w:rPr>
        <w:rFonts w:hint="default" w:ascii="Courier New" w:hAnsi="Courier New" w:cs="Courier New"/>
      </w:rPr>
    </w:lvl>
    <w:lvl w:ilvl="2">
      <w:start w:val="1"/>
      <w:numFmt w:val="bullet"/>
      <w:isLgl w:val="false"/>
      <w:suff w:val="tab"/>
      <w:lvlText w:val=""/>
      <w:lvlJc w:val="left"/>
      <w:pPr>
        <w:tabs>
          <w:tab w:val="num" w:pos="2160" w:leader="none"/>
        </w:tabs>
        <w:ind w:left="2160" w:hanging="360"/>
      </w:pPr>
      <w:rPr>
        <w:rFonts w:hint="default" w:ascii="Wingdings" w:hAnsi="Wingdings"/>
      </w:rPr>
    </w:lvl>
    <w:lvl w:ilvl="3">
      <w:start w:val="1"/>
      <w:numFmt w:val="bullet"/>
      <w:isLgl w:val="false"/>
      <w:suff w:val="tab"/>
      <w:lvlText w:val=""/>
      <w:lvlJc w:val="left"/>
      <w:pPr>
        <w:tabs>
          <w:tab w:val="num" w:pos="2880" w:leader="none"/>
        </w:tabs>
        <w:ind w:left="2880" w:hanging="360"/>
      </w:pPr>
      <w:rPr>
        <w:rFonts w:hint="default" w:ascii="Symbol" w:hAnsi="Symbol"/>
      </w:rPr>
    </w:lvl>
    <w:lvl w:ilvl="4">
      <w:start w:val="1"/>
      <w:numFmt w:val="bullet"/>
      <w:isLgl w:val="false"/>
      <w:suff w:val="tab"/>
      <w:lvlText w:val="o"/>
      <w:lvlJc w:val="left"/>
      <w:pPr>
        <w:tabs>
          <w:tab w:val="num" w:pos="3600" w:leader="none"/>
        </w:tabs>
        <w:ind w:left="3600" w:hanging="360"/>
      </w:pPr>
      <w:rPr>
        <w:rFonts w:hint="default" w:ascii="Courier New" w:hAnsi="Courier New" w:cs="Courier New"/>
      </w:rPr>
    </w:lvl>
    <w:lvl w:ilvl="5">
      <w:start w:val="1"/>
      <w:numFmt w:val="bullet"/>
      <w:isLgl w:val="false"/>
      <w:suff w:val="tab"/>
      <w:lvlText w:val=""/>
      <w:lvlJc w:val="left"/>
      <w:pPr>
        <w:tabs>
          <w:tab w:val="num" w:pos="4320" w:leader="none"/>
        </w:tabs>
        <w:ind w:left="4320" w:hanging="360"/>
      </w:pPr>
      <w:rPr>
        <w:rFonts w:hint="default" w:ascii="Wingdings" w:hAnsi="Wingdings"/>
      </w:rPr>
    </w:lvl>
    <w:lvl w:ilvl="6">
      <w:start w:val="1"/>
      <w:numFmt w:val="bullet"/>
      <w:isLgl w:val="false"/>
      <w:suff w:val="tab"/>
      <w:lvlText w:val=""/>
      <w:lvlJc w:val="left"/>
      <w:pPr>
        <w:tabs>
          <w:tab w:val="num" w:pos="5040" w:leader="none"/>
        </w:tabs>
        <w:ind w:left="5040" w:hanging="360"/>
      </w:pPr>
      <w:rPr>
        <w:rFonts w:hint="default" w:ascii="Symbol" w:hAnsi="Symbol"/>
      </w:rPr>
    </w:lvl>
    <w:lvl w:ilvl="7">
      <w:start w:val="1"/>
      <w:numFmt w:val="bullet"/>
      <w:isLgl w:val="false"/>
      <w:suff w:val="tab"/>
      <w:lvlText w:val="o"/>
      <w:lvlJc w:val="left"/>
      <w:pPr>
        <w:tabs>
          <w:tab w:val="num" w:pos="5760" w:leader="none"/>
        </w:tabs>
        <w:ind w:left="5760" w:hanging="360"/>
      </w:pPr>
      <w:rPr>
        <w:rFonts w:hint="default" w:ascii="Courier New" w:hAnsi="Courier New" w:cs="Courier New"/>
      </w:rPr>
    </w:lvl>
    <w:lvl w:ilvl="8">
      <w:start w:val="1"/>
      <w:numFmt w:val="bullet"/>
      <w:isLgl w:val="false"/>
      <w:suff w:val="tab"/>
      <w:lvlText w:val=""/>
      <w:lvlJc w:val="left"/>
      <w:pPr>
        <w:tabs>
          <w:tab w:val="num" w:pos="6480" w:leader="none"/>
        </w:tabs>
        <w:ind w:left="6480" w:hanging="360"/>
      </w:pPr>
      <w:rPr>
        <w:rFonts w:hint="default" w:ascii="Wingdings" w:hAnsi="Wingdings"/>
      </w:rPr>
    </w:lvl>
  </w:abstractNum>
  <w:abstractNum w:abstractNumId="7">
    <w:multiLevelType w:val="hybridMultilevel"/>
    <w:lvl w:ilvl="0">
      <w:start w:val="1"/>
      <w:numFmt w:val="bullet"/>
      <w:isLgl w:val="false"/>
      <w:suff w:val="tab"/>
      <w:lvlText w:val="-"/>
      <w:lvlJc w:val="left"/>
      <w:pPr>
        <w:ind w:left="420" w:hanging="360"/>
      </w:pPr>
      <w:rPr>
        <w:rFonts w:hint="default" w:ascii="Times New Roman" w:hAnsi="Times New Roman" w:eastAsia="Times New Roman"/>
      </w:rPr>
    </w:lvl>
    <w:lvl w:ilvl="1">
      <w:start w:val="1"/>
      <w:numFmt w:val="bullet"/>
      <w:isLgl w:val="false"/>
      <w:suff w:val="tab"/>
      <w:lvlText w:val="o"/>
      <w:lvlJc w:val="left"/>
      <w:pPr>
        <w:ind w:left="1140" w:hanging="360"/>
      </w:pPr>
      <w:rPr>
        <w:rFonts w:hint="default" w:ascii="Courier New" w:hAnsi="Courier New" w:cs="Courier New"/>
      </w:rPr>
    </w:lvl>
    <w:lvl w:ilvl="2">
      <w:start w:val="1"/>
      <w:numFmt w:val="bullet"/>
      <w:isLgl w:val="false"/>
      <w:suff w:val="tab"/>
      <w:lvlText w:val=""/>
      <w:lvlJc w:val="left"/>
      <w:pPr>
        <w:ind w:left="1860" w:hanging="360"/>
      </w:pPr>
      <w:rPr>
        <w:rFonts w:hint="default" w:ascii="Wingdings" w:hAnsi="Wingdings" w:cs="Wingdings"/>
      </w:rPr>
    </w:lvl>
    <w:lvl w:ilvl="3">
      <w:start w:val="1"/>
      <w:numFmt w:val="bullet"/>
      <w:isLgl w:val="false"/>
      <w:suff w:val="tab"/>
      <w:lvlText w:val=""/>
      <w:lvlJc w:val="left"/>
      <w:pPr>
        <w:ind w:left="2580" w:hanging="360"/>
      </w:pPr>
      <w:rPr>
        <w:rFonts w:hint="default" w:ascii="Symbol" w:hAnsi="Symbol" w:cs="Symbol"/>
      </w:rPr>
    </w:lvl>
    <w:lvl w:ilvl="4">
      <w:start w:val="1"/>
      <w:numFmt w:val="bullet"/>
      <w:isLgl w:val="false"/>
      <w:suff w:val="tab"/>
      <w:lvlText w:val="o"/>
      <w:lvlJc w:val="left"/>
      <w:pPr>
        <w:ind w:left="3300" w:hanging="360"/>
      </w:pPr>
      <w:rPr>
        <w:rFonts w:hint="default" w:ascii="Courier New" w:hAnsi="Courier New" w:cs="Courier New"/>
      </w:rPr>
    </w:lvl>
    <w:lvl w:ilvl="5">
      <w:start w:val="1"/>
      <w:numFmt w:val="bullet"/>
      <w:isLgl w:val="false"/>
      <w:suff w:val="tab"/>
      <w:lvlText w:val=""/>
      <w:lvlJc w:val="left"/>
      <w:pPr>
        <w:ind w:left="4020" w:hanging="360"/>
      </w:pPr>
      <w:rPr>
        <w:rFonts w:hint="default" w:ascii="Wingdings" w:hAnsi="Wingdings" w:cs="Wingdings"/>
      </w:rPr>
    </w:lvl>
    <w:lvl w:ilvl="6">
      <w:start w:val="1"/>
      <w:numFmt w:val="bullet"/>
      <w:isLgl w:val="false"/>
      <w:suff w:val="tab"/>
      <w:lvlText w:val=""/>
      <w:lvlJc w:val="left"/>
      <w:pPr>
        <w:ind w:left="4740" w:hanging="360"/>
      </w:pPr>
      <w:rPr>
        <w:rFonts w:hint="default" w:ascii="Symbol" w:hAnsi="Symbol" w:cs="Symbol"/>
      </w:rPr>
    </w:lvl>
    <w:lvl w:ilvl="7">
      <w:start w:val="1"/>
      <w:numFmt w:val="bullet"/>
      <w:isLgl w:val="false"/>
      <w:suff w:val="tab"/>
      <w:lvlText w:val="o"/>
      <w:lvlJc w:val="left"/>
      <w:pPr>
        <w:ind w:left="5460" w:hanging="360"/>
      </w:pPr>
      <w:rPr>
        <w:rFonts w:hint="default" w:ascii="Courier New" w:hAnsi="Courier New" w:cs="Courier New"/>
      </w:rPr>
    </w:lvl>
    <w:lvl w:ilvl="8">
      <w:start w:val="1"/>
      <w:numFmt w:val="bullet"/>
      <w:isLgl w:val="false"/>
      <w:suff w:val="tab"/>
      <w:lvlText w:val=""/>
      <w:lvlJc w:val="left"/>
      <w:pPr>
        <w:ind w:left="6180" w:hanging="360"/>
      </w:pPr>
      <w:rPr>
        <w:rFonts w:hint="default" w:ascii="Wingdings" w:hAnsi="Wingdings" w:cs="Wingdings"/>
      </w:rPr>
    </w:lvl>
  </w:abstractNum>
  <w:abstractNum w:abstractNumId="8">
    <w:multiLevelType w:val="hybridMultilevel"/>
    <w:lvl w:ilvl="0">
      <w:start w:val="1"/>
      <w:numFmt w:val="decimal"/>
      <w:isLgl w:val="false"/>
      <w:suff w:val="tab"/>
      <w:lvlText w:val="%1"/>
      <w:lvlJc w:val="left"/>
      <w:pPr>
        <w:ind w:left="360" w:hanging="360"/>
      </w:pPr>
      <w:rPr>
        <w:rFonts w:hint="default"/>
      </w:rPr>
    </w:lvl>
    <w:lvl w:ilvl="1">
      <w:start w:val="6"/>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9">
    <w:multiLevelType w:val="hybridMultilevel"/>
    <w:lvl w:ilvl="0">
      <w:start w:val="1"/>
      <w:numFmt w:val="bullet"/>
      <w:isLgl w:val="false"/>
      <w:suff w:val="tab"/>
      <w:lvlText w:val="-"/>
      <w:lvlJc w:val="left"/>
      <w:pPr>
        <w:ind w:left="720" w:hanging="360"/>
      </w:pPr>
      <w:rPr>
        <w:rFonts w:hint="default" w:ascii="Times New Roman" w:hAnsi="Times New Roman" w:eastAsia="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cs="Wingdings"/>
      </w:rPr>
    </w:lvl>
    <w:lvl w:ilvl="3">
      <w:start w:val="1"/>
      <w:numFmt w:val="bullet"/>
      <w:isLgl w:val="false"/>
      <w:suff w:val="tab"/>
      <w:lvlText w:val=""/>
      <w:lvlJc w:val="left"/>
      <w:pPr>
        <w:ind w:left="2880" w:hanging="360"/>
      </w:pPr>
      <w:rPr>
        <w:rFonts w:hint="default" w:ascii="Symbol" w:hAnsi="Symbol" w:cs="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cs="Wingdings"/>
      </w:rPr>
    </w:lvl>
    <w:lvl w:ilvl="6">
      <w:start w:val="1"/>
      <w:numFmt w:val="bullet"/>
      <w:isLgl w:val="false"/>
      <w:suff w:val="tab"/>
      <w:lvlText w:val=""/>
      <w:lvlJc w:val="left"/>
      <w:pPr>
        <w:ind w:left="5040" w:hanging="360"/>
      </w:pPr>
      <w:rPr>
        <w:rFonts w:hint="default" w:ascii="Symbol" w:hAnsi="Symbol" w:cs="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cs="Wingdings"/>
      </w:rPr>
    </w:lvl>
  </w:abstractNum>
  <w:abstractNum w:abstractNumId="10">
    <w:multiLevelType w:val="hybridMultilevel"/>
    <w:lvl w:ilvl="0">
      <w:start w:val="1"/>
      <w:numFmt w:val="bullet"/>
      <w:isLgl w:val="false"/>
      <w:suff w:val="tab"/>
      <w:lvlText w:val="-"/>
      <w:lvlJc w:val="left"/>
      <w:pPr>
        <w:tabs>
          <w:tab w:val="num" w:pos="360" w:leader="none"/>
        </w:tabs>
        <w:ind w:left="360" w:hanging="360"/>
      </w:pPr>
      <w:rPr>
        <w:rFonts w:hint="default" w:ascii="Times New Roman" w:hAnsi="Times New Roman" w:eastAsia="Times New Roman"/>
        <w:sz w:val="20"/>
      </w:rPr>
    </w:lvl>
    <w:lvl w:ilvl="1">
      <w:start w:val="1"/>
      <w:numFmt w:val="bullet"/>
      <w:isLgl w:val="false"/>
      <w:suff w:val="tab"/>
      <w:lvlText w:val=""/>
      <w:lvlJc w:val="left"/>
      <w:pPr>
        <w:tabs>
          <w:tab w:val="num" w:pos="1440" w:leader="none"/>
        </w:tabs>
        <w:ind w:left="1440" w:hanging="360"/>
      </w:pPr>
      <w:rPr>
        <w:rFonts w:hint="default" w:ascii="Wingdings" w:hAnsi="Wingdings"/>
        <w:sz w:val="20"/>
      </w:rPr>
    </w:lvl>
    <w:lvl w:ilvl="2">
      <w:start w:val="1"/>
      <w:numFmt w:val="bullet"/>
      <w:isLgl w:val="false"/>
      <w:suff w:val="tab"/>
      <w:lvlText w:val=""/>
      <w:lvlJc w:val="left"/>
      <w:pPr>
        <w:tabs>
          <w:tab w:val="num" w:pos="2160" w:leader="none"/>
        </w:tabs>
        <w:ind w:left="2160" w:hanging="360"/>
      </w:pPr>
      <w:rPr>
        <w:rFonts w:hint="default" w:ascii="Wingdings" w:hAnsi="Wingdings"/>
      </w:rPr>
    </w:lvl>
    <w:lvl w:ilvl="3">
      <w:start w:val="1"/>
      <w:numFmt w:val="bullet"/>
      <w:isLgl w:val="false"/>
      <w:suff w:val="tab"/>
      <w:lvlText w:val=""/>
      <w:lvlJc w:val="left"/>
      <w:pPr>
        <w:tabs>
          <w:tab w:val="num" w:pos="2880" w:leader="none"/>
        </w:tabs>
        <w:ind w:left="2880" w:hanging="360"/>
      </w:pPr>
      <w:rPr>
        <w:rFonts w:hint="default" w:ascii="Symbol" w:hAnsi="Symbol"/>
      </w:rPr>
    </w:lvl>
    <w:lvl w:ilvl="4">
      <w:start w:val="1"/>
      <w:numFmt w:val="bullet"/>
      <w:isLgl w:val="false"/>
      <w:suff w:val="tab"/>
      <w:lvlText w:val="o"/>
      <w:lvlJc w:val="left"/>
      <w:pPr>
        <w:tabs>
          <w:tab w:val="num" w:pos="3600" w:leader="none"/>
        </w:tabs>
        <w:ind w:left="3600" w:hanging="360"/>
      </w:pPr>
      <w:rPr>
        <w:rFonts w:hint="default" w:ascii="Courier New" w:hAnsi="Courier New"/>
      </w:rPr>
    </w:lvl>
    <w:lvl w:ilvl="5">
      <w:start w:val="1"/>
      <w:numFmt w:val="bullet"/>
      <w:isLgl w:val="false"/>
      <w:suff w:val="tab"/>
      <w:lvlText w:val=""/>
      <w:lvlJc w:val="left"/>
      <w:pPr>
        <w:tabs>
          <w:tab w:val="num" w:pos="4320" w:leader="none"/>
        </w:tabs>
        <w:ind w:left="4320" w:hanging="360"/>
      </w:pPr>
      <w:rPr>
        <w:rFonts w:hint="default" w:ascii="Wingdings" w:hAnsi="Wingdings"/>
      </w:rPr>
    </w:lvl>
    <w:lvl w:ilvl="6">
      <w:start w:val="1"/>
      <w:numFmt w:val="bullet"/>
      <w:isLgl w:val="false"/>
      <w:suff w:val="tab"/>
      <w:lvlText w:val=""/>
      <w:lvlJc w:val="left"/>
      <w:pPr>
        <w:tabs>
          <w:tab w:val="num" w:pos="5040" w:leader="none"/>
        </w:tabs>
        <w:ind w:left="5040" w:hanging="360"/>
      </w:pPr>
      <w:rPr>
        <w:rFonts w:hint="default" w:ascii="Symbol" w:hAnsi="Symbol"/>
      </w:rPr>
    </w:lvl>
    <w:lvl w:ilvl="7">
      <w:start w:val="1"/>
      <w:numFmt w:val="bullet"/>
      <w:isLgl w:val="false"/>
      <w:suff w:val="tab"/>
      <w:lvlText w:val="o"/>
      <w:lvlJc w:val="left"/>
      <w:pPr>
        <w:tabs>
          <w:tab w:val="num" w:pos="5760" w:leader="none"/>
        </w:tabs>
        <w:ind w:left="5760" w:hanging="360"/>
      </w:pPr>
      <w:rPr>
        <w:rFonts w:hint="default" w:ascii="Courier New" w:hAnsi="Courier New"/>
      </w:rPr>
    </w:lvl>
    <w:lvl w:ilvl="8">
      <w:start w:val="1"/>
      <w:numFmt w:val="bullet"/>
      <w:isLgl w:val="false"/>
      <w:suff w:val="tab"/>
      <w:lvlText w:val=""/>
      <w:lvlJc w:val="left"/>
      <w:pPr>
        <w:tabs>
          <w:tab w:val="num" w:pos="6480" w:leader="none"/>
        </w:tabs>
        <w:ind w:left="6480" w:hanging="360"/>
      </w:pPr>
      <w:rPr>
        <w:rFonts w:hint="default" w:ascii="Wingdings" w:hAnsi="Wingdings"/>
      </w:rPr>
    </w:lvl>
  </w:abstractNum>
  <w:abstractNum w:abstractNumId="11">
    <w:multiLevelType w:val="hybridMultilevel"/>
    <w:lvl w:ilvl="0">
      <w:start w:val="3"/>
      <w:numFmt w:val="decimal"/>
      <w:isLgl w:val="false"/>
      <w:suff w:val="tab"/>
      <w:lvlText w:val="%1."/>
      <w:lvlJc w:val="left"/>
      <w:pPr>
        <w:ind w:left="1080" w:hanging="360"/>
      </w:pPr>
      <w:rPr>
        <w:rFonts w:hint="default"/>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12">
    <w:multiLevelType w:val="hybridMultilevel"/>
    <w:lvl w:ilvl="0">
      <w:start w:val="1"/>
      <w:numFmt w:val="decimal"/>
      <w:isLgl w:val="false"/>
      <w:suff w:val="tab"/>
      <w:lvlText w:val="%1"/>
      <w:lvlJc w:val="left"/>
      <w:pPr>
        <w:ind w:left="360" w:hanging="360"/>
      </w:pPr>
      <w:rPr>
        <w:rFonts w:hint="default"/>
        <w:color w:val="000000"/>
      </w:rPr>
    </w:lvl>
    <w:lvl w:ilvl="1">
      <w:start w:val="4"/>
      <w:numFmt w:val="decimal"/>
      <w:isLgl w:val="false"/>
      <w:suff w:val="tab"/>
      <w:lvlText w:val="%1.%2"/>
      <w:lvlJc w:val="left"/>
      <w:pPr>
        <w:ind w:left="1080" w:hanging="360"/>
      </w:pPr>
      <w:rPr>
        <w:rFonts w:hint="default"/>
        <w:color w:val="000000"/>
      </w:rPr>
    </w:lvl>
    <w:lvl w:ilvl="2">
      <w:start w:val="1"/>
      <w:numFmt w:val="decimal"/>
      <w:isLgl w:val="false"/>
      <w:suff w:val="tab"/>
      <w:lvlText w:val="%1.%2.%3"/>
      <w:lvlJc w:val="left"/>
      <w:pPr>
        <w:ind w:left="2160" w:hanging="720"/>
      </w:pPr>
      <w:rPr>
        <w:rFonts w:hint="default"/>
        <w:color w:val="000000"/>
      </w:rPr>
    </w:lvl>
    <w:lvl w:ilvl="3">
      <w:start w:val="1"/>
      <w:numFmt w:val="decimal"/>
      <w:isLgl w:val="false"/>
      <w:suff w:val="tab"/>
      <w:lvlText w:val="%1.%2.%3.%4"/>
      <w:lvlJc w:val="left"/>
      <w:pPr>
        <w:ind w:left="2880" w:hanging="720"/>
      </w:pPr>
      <w:rPr>
        <w:rFonts w:hint="default"/>
        <w:color w:val="000000"/>
      </w:rPr>
    </w:lvl>
    <w:lvl w:ilvl="4">
      <w:start w:val="1"/>
      <w:numFmt w:val="decimal"/>
      <w:isLgl w:val="false"/>
      <w:suff w:val="tab"/>
      <w:lvlText w:val="%1.%2.%3.%4.%5"/>
      <w:lvlJc w:val="left"/>
      <w:pPr>
        <w:ind w:left="3960" w:hanging="1080"/>
      </w:pPr>
      <w:rPr>
        <w:rFonts w:hint="default"/>
        <w:color w:val="000000"/>
      </w:rPr>
    </w:lvl>
    <w:lvl w:ilvl="5">
      <w:start w:val="1"/>
      <w:numFmt w:val="decimal"/>
      <w:isLgl w:val="false"/>
      <w:suff w:val="tab"/>
      <w:lvlText w:val="%1.%2.%3.%4.%5.%6"/>
      <w:lvlJc w:val="left"/>
      <w:pPr>
        <w:ind w:left="4680" w:hanging="1080"/>
      </w:pPr>
      <w:rPr>
        <w:rFonts w:hint="default"/>
        <w:color w:val="000000"/>
      </w:rPr>
    </w:lvl>
    <w:lvl w:ilvl="6">
      <w:start w:val="1"/>
      <w:numFmt w:val="decimal"/>
      <w:isLgl w:val="false"/>
      <w:suff w:val="tab"/>
      <w:lvlText w:val="%1.%2.%3.%4.%5.%6.%7"/>
      <w:lvlJc w:val="left"/>
      <w:pPr>
        <w:ind w:left="5760" w:hanging="1440"/>
      </w:pPr>
      <w:rPr>
        <w:rFonts w:hint="default"/>
        <w:color w:val="000000"/>
      </w:rPr>
    </w:lvl>
    <w:lvl w:ilvl="7">
      <w:start w:val="1"/>
      <w:numFmt w:val="decimal"/>
      <w:isLgl w:val="false"/>
      <w:suff w:val="tab"/>
      <w:lvlText w:val="%1.%2.%3.%4.%5.%6.%7.%8"/>
      <w:lvlJc w:val="left"/>
      <w:pPr>
        <w:ind w:left="6480" w:hanging="1440"/>
      </w:pPr>
      <w:rPr>
        <w:rFonts w:hint="default"/>
        <w:color w:val="000000"/>
      </w:rPr>
    </w:lvl>
    <w:lvl w:ilvl="8">
      <w:start w:val="1"/>
      <w:numFmt w:val="decimal"/>
      <w:isLgl w:val="false"/>
      <w:suff w:val="tab"/>
      <w:lvlText w:val="%1.%2.%3.%4.%5.%6.%7.%8.%9"/>
      <w:lvlJc w:val="left"/>
      <w:pPr>
        <w:ind w:left="7560" w:hanging="1800"/>
      </w:pPr>
      <w:rPr>
        <w:rFonts w:hint="default"/>
        <w:color w:val="000000"/>
      </w:rPr>
    </w:lvl>
  </w:abstractNum>
  <w:abstractNum w:abstractNumId="1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10"/>
  </w:num>
  <w:num w:numId="2">
    <w:abstractNumId w:val="7"/>
  </w:num>
  <w:num w:numId="3">
    <w:abstractNumId w:val="9"/>
  </w:num>
  <w:num w:numId="4">
    <w:abstractNumId w:val="6"/>
  </w:num>
  <w:num w:numId="5">
    <w:abstractNumId w:val="13"/>
  </w:num>
  <w:num w:numId="6">
    <w:abstractNumId w:val="3"/>
  </w:num>
  <w:num w:numId="7">
    <w:abstractNumId w:val="5"/>
  </w:num>
  <w:num w:numId="8">
    <w:abstractNumId w:val="0"/>
  </w:num>
  <w:num w:numId="9">
    <w:abstractNumId w:val="8"/>
  </w:num>
  <w:num w:numId="10">
    <w:abstractNumId w:val="12"/>
  </w:num>
  <w:num w:numId="11">
    <w:abstractNumId w:val="2"/>
  </w:num>
  <w:num w:numId="12">
    <w:abstractNumId w:val="4"/>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00" w:default="1">
    <w:name w:val="Normal"/>
    <w:qFormat/>
    <w:pPr>
      <w:widowControl w:val="off"/>
      <w:spacing w:after="0" w:line="240" w:lineRule="auto"/>
    </w:pPr>
    <w:rPr>
      <w:rFonts w:ascii="Times New Roman" w:hAnsi="Times New Roman" w:eastAsia="Arial Unicode MS" w:cs="Tahoma"/>
      <w:sz w:val="24"/>
      <w:szCs w:val="24"/>
      <w:lang w:eastAsia="ru-RU"/>
    </w:rPr>
  </w:style>
  <w:style w:type="paragraph" w:styleId="701">
    <w:name w:val="Heading 1"/>
    <w:basedOn w:val="700"/>
    <w:next w:val="700"/>
    <w:link w:val="727"/>
    <w:uiPriority w:val="9"/>
    <w:qFormat/>
    <w:pPr>
      <w:keepNext/>
      <w:keepLines/>
      <w:spacing w:before="480" w:after="200"/>
      <w:outlineLvl w:val="0"/>
    </w:pPr>
    <w:rPr>
      <w:rFonts w:ascii="Arial" w:hAnsi="Arial" w:eastAsia="Arial" w:cs="Arial"/>
      <w:sz w:val="40"/>
      <w:szCs w:val="40"/>
    </w:rPr>
  </w:style>
  <w:style w:type="paragraph" w:styleId="702">
    <w:name w:val="Heading 2"/>
    <w:basedOn w:val="700"/>
    <w:next w:val="700"/>
    <w:link w:val="728"/>
    <w:uiPriority w:val="9"/>
    <w:unhideWhenUsed/>
    <w:qFormat/>
    <w:pPr>
      <w:keepNext/>
      <w:keepLines/>
      <w:spacing w:before="360" w:after="200"/>
      <w:outlineLvl w:val="1"/>
    </w:pPr>
    <w:rPr>
      <w:rFonts w:ascii="Arial" w:hAnsi="Arial" w:eastAsia="Arial" w:cs="Arial"/>
      <w:sz w:val="34"/>
    </w:rPr>
  </w:style>
  <w:style w:type="paragraph" w:styleId="703">
    <w:name w:val="Heading 3"/>
    <w:basedOn w:val="700"/>
    <w:next w:val="700"/>
    <w:link w:val="729"/>
    <w:uiPriority w:val="9"/>
    <w:unhideWhenUsed/>
    <w:qFormat/>
    <w:pPr>
      <w:keepNext/>
      <w:keepLines/>
      <w:spacing w:before="320" w:after="200"/>
      <w:outlineLvl w:val="2"/>
    </w:pPr>
    <w:rPr>
      <w:rFonts w:ascii="Arial" w:hAnsi="Arial" w:eastAsia="Arial" w:cs="Arial"/>
      <w:sz w:val="30"/>
      <w:szCs w:val="30"/>
    </w:rPr>
  </w:style>
  <w:style w:type="paragraph" w:styleId="704">
    <w:name w:val="Heading 4"/>
    <w:basedOn w:val="700"/>
    <w:next w:val="700"/>
    <w:link w:val="730"/>
    <w:uiPriority w:val="9"/>
    <w:unhideWhenUsed/>
    <w:qFormat/>
    <w:pPr>
      <w:keepNext/>
      <w:keepLines/>
      <w:spacing w:before="320" w:after="200"/>
      <w:outlineLvl w:val="3"/>
    </w:pPr>
    <w:rPr>
      <w:rFonts w:ascii="Arial" w:hAnsi="Arial" w:eastAsia="Arial" w:cs="Arial"/>
      <w:b/>
      <w:bCs/>
      <w:sz w:val="26"/>
      <w:szCs w:val="26"/>
    </w:rPr>
  </w:style>
  <w:style w:type="paragraph" w:styleId="705">
    <w:name w:val="Heading 5"/>
    <w:basedOn w:val="700"/>
    <w:next w:val="700"/>
    <w:link w:val="731"/>
    <w:uiPriority w:val="9"/>
    <w:unhideWhenUsed/>
    <w:qFormat/>
    <w:pPr>
      <w:keepNext/>
      <w:keepLines/>
      <w:spacing w:before="320" w:after="200"/>
      <w:outlineLvl w:val="4"/>
    </w:pPr>
    <w:rPr>
      <w:rFonts w:ascii="Arial" w:hAnsi="Arial" w:eastAsia="Arial" w:cs="Arial"/>
      <w:b/>
      <w:bCs/>
    </w:rPr>
  </w:style>
  <w:style w:type="paragraph" w:styleId="706">
    <w:name w:val="Heading 6"/>
    <w:basedOn w:val="700"/>
    <w:next w:val="700"/>
    <w:link w:val="732"/>
    <w:uiPriority w:val="9"/>
    <w:unhideWhenUsed/>
    <w:qFormat/>
    <w:pPr>
      <w:keepNext/>
      <w:keepLines/>
      <w:spacing w:before="320" w:after="200"/>
      <w:outlineLvl w:val="5"/>
    </w:pPr>
    <w:rPr>
      <w:rFonts w:ascii="Arial" w:hAnsi="Arial" w:eastAsia="Arial" w:cs="Arial"/>
      <w:b/>
      <w:bCs/>
      <w:sz w:val="22"/>
      <w:szCs w:val="22"/>
    </w:rPr>
  </w:style>
  <w:style w:type="paragraph" w:styleId="707">
    <w:name w:val="Heading 7"/>
    <w:basedOn w:val="700"/>
    <w:next w:val="700"/>
    <w:link w:val="733"/>
    <w:uiPriority w:val="9"/>
    <w:unhideWhenUsed/>
    <w:qFormat/>
    <w:pPr>
      <w:keepNext/>
      <w:keepLines/>
      <w:spacing w:before="320" w:after="200"/>
      <w:outlineLvl w:val="6"/>
    </w:pPr>
    <w:rPr>
      <w:rFonts w:ascii="Arial" w:hAnsi="Arial" w:eastAsia="Arial" w:cs="Arial"/>
      <w:b/>
      <w:bCs/>
      <w:i/>
      <w:iCs/>
      <w:sz w:val="22"/>
      <w:szCs w:val="22"/>
    </w:rPr>
  </w:style>
  <w:style w:type="paragraph" w:styleId="708">
    <w:name w:val="Heading 8"/>
    <w:basedOn w:val="700"/>
    <w:next w:val="700"/>
    <w:link w:val="734"/>
    <w:uiPriority w:val="9"/>
    <w:unhideWhenUsed/>
    <w:qFormat/>
    <w:pPr>
      <w:keepNext/>
      <w:keepLines/>
      <w:spacing w:before="320" w:after="200"/>
      <w:outlineLvl w:val="7"/>
    </w:pPr>
    <w:rPr>
      <w:rFonts w:ascii="Arial" w:hAnsi="Arial" w:eastAsia="Arial" w:cs="Arial"/>
      <w:i/>
      <w:iCs/>
      <w:sz w:val="22"/>
      <w:szCs w:val="22"/>
    </w:rPr>
  </w:style>
  <w:style w:type="paragraph" w:styleId="709">
    <w:name w:val="Heading 9"/>
    <w:basedOn w:val="700"/>
    <w:next w:val="700"/>
    <w:link w:val="735"/>
    <w:uiPriority w:val="9"/>
    <w:unhideWhenUsed/>
    <w:qFormat/>
    <w:pPr>
      <w:keepNext/>
      <w:keepLines/>
      <w:spacing w:before="320" w:after="200"/>
      <w:outlineLvl w:val="8"/>
    </w:pPr>
    <w:rPr>
      <w:rFonts w:ascii="Arial" w:hAnsi="Arial" w:eastAsia="Arial" w:cs="Arial"/>
      <w:i/>
      <w:iCs/>
      <w:sz w:val="21"/>
      <w:szCs w:val="21"/>
    </w:rPr>
  </w:style>
  <w:style w:type="character" w:styleId="710" w:default="1">
    <w:name w:val="Default Paragraph Font"/>
    <w:uiPriority w:val="1"/>
    <w:semiHidden/>
    <w:unhideWhenUsed/>
  </w:style>
  <w:style w:type="table" w:styleId="711" w:default="1">
    <w:name w:val="Normal Table"/>
    <w:uiPriority w:val="99"/>
    <w:semiHidden/>
    <w:unhideWhenUsed/>
    <w:tblPr>
      <w:tblInd w:w="0" w:type="dxa"/>
      <w:tblCellMar>
        <w:left w:w="108" w:type="dxa"/>
        <w:top w:w="0" w:type="dxa"/>
        <w:right w:w="108" w:type="dxa"/>
        <w:bottom w:w="0" w:type="dxa"/>
      </w:tblCellMar>
    </w:tblPr>
  </w:style>
  <w:style w:type="numbering" w:styleId="712" w:default="1">
    <w:name w:val="No List"/>
    <w:uiPriority w:val="99"/>
    <w:semiHidden/>
    <w:unhideWhenUsed/>
  </w:style>
  <w:style w:type="character" w:styleId="713" w:customStyle="1">
    <w:name w:val="Heading 1 Char"/>
    <w:basedOn w:val="710"/>
    <w:uiPriority w:val="9"/>
    <w:rPr>
      <w:rFonts w:ascii="Arial" w:hAnsi="Arial" w:eastAsia="Arial" w:cs="Arial"/>
      <w:sz w:val="40"/>
      <w:szCs w:val="40"/>
    </w:rPr>
  </w:style>
  <w:style w:type="character" w:styleId="714" w:customStyle="1">
    <w:name w:val="Heading 2 Char"/>
    <w:basedOn w:val="710"/>
    <w:uiPriority w:val="9"/>
    <w:rPr>
      <w:rFonts w:ascii="Arial" w:hAnsi="Arial" w:eastAsia="Arial" w:cs="Arial"/>
      <w:sz w:val="34"/>
    </w:rPr>
  </w:style>
  <w:style w:type="character" w:styleId="715" w:customStyle="1">
    <w:name w:val="Heading 3 Char"/>
    <w:basedOn w:val="710"/>
    <w:uiPriority w:val="9"/>
    <w:rPr>
      <w:rFonts w:ascii="Arial" w:hAnsi="Arial" w:eastAsia="Arial" w:cs="Arial"/>
      <w:sz w:val="30"/>
      <w:szCs w:val="30"/>
    </w:rPr>
  </w:style>
  <w:style w:type="character" w:styleId="716" w:customStyle="1">
    <w:name w:val="Heading 4 Char"/>
    <w:basedOn w:val="710"/>
    <w:uiPriority w:val="9"/>
    <w:rPr>
      <w:rFonts w:ascii="Arial" w:hAnsi="Arial" w:eastAsia="Arial" w:cs="Arial"/>
      <w:b/>
      <w:bCs/>
      <w:sz w:val="26"/>
      <w:szCs w:val="26"/>
    </w:rPr>
  </w:style>
  <w:style w:type="character" w:styleId="717" w:customStyle="1">
    <w:name w:val="Heading 5 Char"/>
    <w:basedOn w:val="710"/>
    <w:uiPriority w:val="9"/>
    <w:rPr>
      <w:rFonts w:ascii="Arial" w:hAnsi="Arial" w:eastAsia="Arial" w:cs="Arial"/>
      <w:b/>
      <w:bCs/>
      <w:sz w:val="24"/>
      <w:szCs w:val="24"/>
    </w:rPr>
  </w:style>
  <w:style w:type="character" w:styleId="718" w:customStyle="1">
    <w:name w:val="Heading 6 Char"/>
    <w:basedOn w:val="710"/>
    <w:uiPriority w:val="9"/>
    <w:rPr>
      <w:rFonts w:ascii="Arial" w:hAnsi="Arial" w:eastAsia="Arial" w:cs="Arial"/>
      <w:b/>
      <w:bCs/>
      <w:sz w:val="22"/>
      <w:szCs w:val="22"/>
    </w:rPr>
  </w:style>
  <w:style w:type="character" w:styleId="719" w:customStyle="1">
    <w:name w:val="Heading 7 Char"/>
    <w:basedOn w:val="710"/>
    <w:uiPriority w:val="9"/>
    <w:rPr>
      <w:rFonts w:ascii="Arial" w:hAnsi="Arial" w:eastAsia="Arial" w:cs="Arial"/>
      <w:b/>
      <w:bCs/>
      <w:i/>
      <w:iCs/>
      <w:sz w:val="22"/>
      <w:szCs w:val="22"/>
    </w:rPr>
  </w:style>
  <w:style w:type="character" w:styleId="720" w:customStyle="1">
    <w:name w:val="Heading 8 Char"/>
    <w:basedOn w:val="710"/>
    <w:uiPriority w:val="9"/>
    <w:rPr>
      <w:rFonts w:ascii="Arial" w:hAnsi="Arial" w:eastAsia="Arial" w:cs="Arial"/>
      <w:i/>
      <w:iCs/>
      <w:sz w:val="22"/>
      <w:szCs w:val="22"/>
    </w:rPr>
  </w:style>
  <w:style w:type="character" w:styleId="721" w:customStyle="1">
    <w:name w:val="Heading 9 Char"/>
    <w:basedOn w:val="710"/>
    <w:uiPriority w:val="9"/>
    <w:rPr>
      <w:rFonts w:ascii="Arial" w:hAnsi="Arial" w:eastAsia="Arial" w:cs="Arial"/>
      <w:i/>
      <w:iCs/>
      <w:sz w:val="21"/>
      <w:szCs w:val="21"/>
    </w:rPr>
  </w:style>
  <w:style w:type="character" w:styleId="722" w:customStyle="1">
    <w:name w:val="Subtitle Char"/>
    <w:basedOn w:val="710"/>
    <w:uiPriority w:val="11"/>
    <w:rPr>
      <w:sz w:val="24"/>
      <w:szCs w:val="24"/>
    </w:rPr>
  </w:style>
  <w:style w:type="character" w:styleId="723" w:customStyle="1">
    <w:name w:val="Quote Char"/>
    <w:uiPriority w:val="29"/>
    <w:rPr>
      <w:i/>
    </w:rPr>
  </w:style>
  <w:style w:type="character" w:styleId="724" w:customStyle="1">
    <w:name w:val="Intense Quote Char"/>
    <w:uiPriority w:val="30"/>
    <w:rPr>
      <w:i/>
    </w:rPr>
  </w:style>
  <w:style w:type="character" w:styleId="725" w:customStyle="1">
    <w:name w:val="Footnote Text Char"/>
    <w:uiPriority w:val="99"/>
    <w:rPr>
      <w:sz w:val="18"/>
    </w:rPr>
  </w:style>
  <w:style w:type="character" w:styleId="726" w:customStyle="1">
    <w:name w:val="Endnote Text Char"/>
    <w:uiPriority w:val="99"/>
    <w:rPr>
      <w:sz w:val="20"/>
    </w:rPr>
  </w:style>
  <w:style w:type="character" w:styleId="727" w:customStyle="1">
    <w:name w:val="Заголовок 1 Знак"/>
    <w:basedOn w:val="710"/>
    <w:link w:val="701"/>
    <w:uiPriority w:val="9"/>
    <w:rPr>
      <w:rFonts w:ascii="Arial" w:hAnsi="Arial" w:eastAsia="Arial" w:cs="Arial"/>
      <w:sz w:val="40"/>
      <w:szCs w:val="40"/>
    </w:rPr>
  </w:style>
  <w:style w:type="character" w:styleId="728" w:customStyle="1">
    <w:name w:val="Заголовок 2 Знак"/>
    <w:basedOn w:val="710"/>
    <w:link w:val="702"/>
    <w:uiPriority w:val="9"/>
    <w:rPr>
      <w:rFonts w:ascii="Arial" w:hAnsi="Arial" w:eastAsia="Arial" w:cs="Arial"/>
      <w:sz w:val="34"/>
    </w:rPr>
  </w:style>
  <w:style w:type="character" w:styleId="729" w:customStyle="1">
    <w:name w:val="Заголовок 3 Знак"/>
    <w:basedOn w:val="710"/>
    <w:link w:val="703"/>
    <w:uiPriority w:val="9"/>
    <w:rPr>
      <w:rFonts w:ascii="Arial" w:hAnsi="Arial" w:eastAsia="Arial" w:cs="Arial"/>
      <w:sz w:val="30"/>
      <w:szCs w:val="30"/>
    </w:rPr>
  </w:style>
  <w:style w:type="character" w:styleId="730" w:customStyle="1">
    <w:name w:val="Заголовок 4 Знак"/>
    <w:basedOn w:val="710"/>
    <w:link w:val="704"/>
    <w:uiPriority w:val="9"/>
    <w:rPr>
      <w:rFonts w:ascii="Arial" w:hAnsi="Arial" w:eastAsia="Arial" w:cs="Arial"/>
      <w:b/>
      <w:bCs/>
      <w:sz w:val="26"/>
      <w:szCs w:val="26"/>
    </w:rPr>
  </w:style>
  <w:style w:type="character" w:styleId="731" w:customStyle="1">
    <w:name w:val="Заголовок 5 Знак"/>
    <w:basedOn w:val="710"/>
    <w:link w:val="705"/>
    <w:uiPriority w:val="9"/>
    <w:rPr>
      <w:rFonts w:ascii="Arial" w:hAnsi="Arial" w:eastAsia="Arial" w:cs="Arial"/>
      <w:b/>
      <w:bCs/>
      <w:sz w:val="24"/>
      <w:szCs w:val="24"/>
    </w:rPr>
  </w:style>
  <w:style w:type="character" w:styleId="732" w:customStyle="1">
    <w:name w:val="Заголовок 6 Знак"/>
    <w:basedOn w:val="710"/>
    <w:link w:val="706"/>
    <w:uiPriority w:val="9"/>
    <w:rPr>
      <w:rFonts w:ascii="Arial" w:hAnsi="Arial" w:eastAsia="Arial" w:cs="Arial"/>
      <w:b/>
      <w:bCs/>
      <w:sz w:val="22"/>
      <w:szCs w:val="22"/>
    </w:rPr>
  </w:style>
  <w:style w:type="character" w:styleId="733" w:customStyle="1">
    <w:name w:val="Заголовок 7 Знак"/>
    <w:basedOn w:val="710"/>
    <w:link w:val="707"/>
    <w:uiPriority w:val="9"/>
    <w:rPr>
      <w:rFonts w:ascii="Arial" w:hAnsi="Arial" w:eastAsia="Arial" w:cs="Arial"/>
      <w:b/>
      <w:bCs/>
      <w:i/>
      <w:iCs/>
      <w:sz w:val="22"/>
      <w:szCs w:val="22"/>
    </w:rPr>
  </w:style>
  <w:style w:type="character" w:styleId="734" w:customStyle="1">
    <w:name w:val="Заголовок 8 Знак"/>
    <w:basedOn w:val="710"/>
    <w:link w:val="708"/>
    <w:uiPriority w:val="9"/>
    <w:rPr>
      <w:rFonts w:ascii="Arial" w:hAnsi="Arial" w:eastAsia="Arial" w:cs="Arial"/>
      <w:i/>
      <w:iCs/>
      <w:sz w:val="22"/>
      <w:szCs w:val="22"/>
    </w:rPr>
  </w:style>
  <w:style w:type="character" w:styleId="735" w:customStyle="1">
    <w:name w:val="Заголовок 9 Знак"/>
    <w:basedOn w:val="710"/>
    <w:link w:val="709"/>
    <w:uiPriority w:val="9"/>
    <w:rPr>
      <w:rFonts w:ascii="Arial" w:hAnsi="Arial" w:eastAsia="Arial" w:cs="Arial"/>
      <w:i/>
      <w:iCs/>
      <w:sz w:val="21"/>
      <w:szCs w:val="21"/>
    </w:rPr>
  </w:style>
  <w:style w:type="character" w:styleId="736" w:customStyle="1">
    <w:name w:val="Title Char"/>
    <w:basedOn w:val="710"/>
    <w:uiPriority w:val="10"/>
    <w:rPr>
      <w:sz w:val="48"/>
      <w:szCs w:val="48"/>
    </w:rPr>
  </w:style>
  <w:style w:type="paragraph" w:styleId="737">
    <w:name w:val="Subtitle"/>
    <w:basedOn w:val="700"/>
    <w:next w:val="700"/>
    <w:link w:val="738"/>
    <w:uiPriority w:val="11"/>
    <w:qFormat/>
    <w:pPr>
      <w:spacing w:before="200" w:after="200"/>
    </w:pPr>
  </w:style>
  <w:style w:type="character" w:styleId="738" w:customStyle="1">
    <w:name w:val="Подзаголовок Знак"/>
    <w:basedOn w:val="710"/>
    <w:link w:val="737"/>
    <w:uiPriority w:val="11"/>
    <w:rPr>
      <w:sz w:val="24"/>
      <w:szCs w:val="24"/>
    </w:rPr>
  </w:style>
  <w:style w:type="paragraph" w:styleId="739">
    <w:name w:val="Quote"/>
    <w:basedOn w:val="700"/>
    <w:next w:val="700"/>
    <w:link w:val="740"/>
    <w:uiPriority w:val="29"/>
    <w:qFormat/>
    <w:pPr>
      <w:ind w:left="720" w:right="720"/>
    </w:pPr>
    <w:rPr>
      <w:i/>
    </w:rPr>
  </w:style>
  <w:style w:type="character" w:styleId="740" w:customStyle="1">
    <w:name w:val="Цитата 2 Знак"/>
    <w:link w:val="739"/>
    <w:uiPriority w:val="29"/>
    <w:rPr>
      <w:i/>
    </w:rPr>
  </w:style>
  <w:style w:type="paragraph" w:styleId="741">
    <w:name w:val="Intense Quote"/>
    <w:basedOn w:val="700"/>
    <w:next w:val="700"/>
    <w:link w:val="742"/>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styleId="742" w:customStyle="1">
    <w:name w:val="Выделенная цитата Знак"/>
    <w:link w:val="741"/>
    <w:uiPriority w:val="30"/>
    <w:rPr>
      <w:i/>
    </w:rPr>
  </w:style>
  <w:style w:type="character" w:styleId="743" w:customStyle="1">
    <w:name w:val="Header Char"/>
    <w:basedOn w:val="710"/>
    <w:uiPriority w:val="99"/>
  </w:style>
  <w:style w:type="character" w:styleId="744" w:customStyle="1">
    <w:name w:val="Footer Char"/>
    <w:basedOn w:val="710"/>
    <w:uiPriority w:val="99"/>
  </w:style>
  <w:style w:type="paragraph" w:styleId="745">
    <w:name w:val="Caption"/>
    <w:basedOn w:val="700"/>
    <w:next w:val="700"/>
    <w:link w:val="746"/>
    <w:uiPriority w:val="35"/>
    <w:semiHidden/>
    <w:unhideWhenUsed/>
    <w:qFormat/>
    <w:pPr>
      <w:spacing w:line="276" w:lineRule="auto"/>
    </w:pPr>
    <w:rPr>
      <w:b/>
      <w:bCs/>
      <w:color w:val="4f81bd" w:themeColor="accent1"/>
      <w:sz w:val="18"/>
      <w:szCs w:val="18"/>
    </w:rPr>
  </w:style>
  <w:style w:type="character" w:styleId="746" w:customStyle="1">
    <w:name w:val="Caption Char"/>
    <w:uiPriority w:val="99"/>
  </w:style>
  <w:style w:type="table" w:styleId="747">
    <w:name w:val="Table Grid"/>
    <w:basedOn w:val="711"/>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748" w:customStyle="1">
    <w:name w:val="Table Grid Light"/>
    <w:basedOn w:val="71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49">
    <w:name w:val="Plain Table 1"/>
    <w:basedOn w:val="71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50">
    <w:name w:val="Plain Table 2"/>
    <w:basedOn w:val="71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51">
    <w:name w:val="Plain Table 3"/>
    <w:basedOn w:val="711"/>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52">
    <w:name w:val="Plain Table 4"/>
    <w:basedOn w:val="711"/>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53">
    <w:name w:val="Plain Table 5"/>
    <w:basedOn w:val="711"/>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tcBorders>
          <w:right w:val="single" w:color="404040" w:sz="4" w:space="0"/>
        </w:tcBorders>
        <w:shd w:val="clear" w:color="ffffff" w:fill="auto"/>
      </w:tcPr>
    </w:tblStylePr>
    <w:tblStylePr w:type="firstRow">
      <w:rPr>
        <w:i/>
        <w:color w:val="404040"/>
      </w:rPr>
      <w:tcPr>
        <w:tcBorders>
          <w:left w:val="none" w:color="000000" w:sz="4" w:space="0"/>
          <w:bottom w:val="single" w:color="404040" w:sz="4" w:space="0"/>
          <w:right w:val="none" w:color="00000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lastRow">
      <w:rPr>
        <w:i/>
        <w:color w:val="404040"/>
      </w:rPr>
      <w:tcPr>
        <w:tcBorders>
          <w:top w:val="single" w:color="404040" w:sz="4" w:space="0"/>
          <w:left w:val="none" w:color="000000" w:sz="4" w:space="0"/>
          <w:right w:val="none" w:color="000000" w:sz="4" w:space="0"/>
        </w:tcBorders>
        <w:shd w:val="clear" w:color="ffffff" w:fill="auto"/>
      </w:tcPr>
    </w:tblStylePr>
  </w:style>
  <w:style w:type="table" w:styleId="754">
    <w:name w:val="Grid Table 1 Light"/>
    <w:basedOn w:val="711"/>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55" w:customStyle="1">
    <w:name w:val="Grid Table 1 Light - Accent 1"/>
    <w:basedOn w:val="711"/>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756" w:customStyle="1">
    <w:name w:val="Grid Table 1 Light - Accent 2"/>
    <w:basedOn w:val="711"/>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757" w:customStyle="1">
    <w:name w:val="Grid Table 1 Light - Accent 3"/>
    <w:basedOn w:val="711"/>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758" w:customStyle="1">
    <w:name w:val="Grid Table 1 Light - Accent 4"/>
    <w:basedOn w:val="711"/>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759" w:customStyle="1">
    <w:name w:val="Grid Table 1 Light - Accent 5"/>
    <w:basedOn w:val="711"/>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760" w:customStyle="1">
    <w:name w:val="Grid Table 1 Light - Accent 6"/>
    <w:basedOn w:val="711"/>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761">
    <w:name w:val="Grid Table 2"/>
    <w:basedOn w:val="71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6A6A6A" w:themeColor="text1" w:themeTint="95"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6A6A6A" w:themeColor="text1" w:themeTint="95" w:sz="4" w:space="0"/>
          <w:left w:val="none" w:color="000000" w:sz="4" w:space="0"/>
          <w:bottom w:val="none" w:color="000000" w:sz="4" w:space="0"/>
          <w:right w:val="none" w:color="000000" w:sz="4" w:space="0"/>
        </w:tcBorders>
        <w:shd w:val="clear" w:color="ffffff" w:fill="auto"/>
      </w:tcPr>
    </w:tblStylePr>
  </w:style>
  <w:style w:type="table" w:styleId="762" w:customStyle="1">
    <w:name w:val="Grid Table 2 - Accent 1"/>
    <w:basedOn w:val="711"/>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5D8AC2" w:themeColor="accent1" w:themeTint="EA"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5D8AC2" w:themeColor="accent1" w:themeTint="EA" w:sz="4" w:space="0"/>
          <w:left w:val="none" w:color="000000" w:sz="4" w:space="0"/>
          <w:bottom w:val="none" w:color="000000" w:sz="4" w:space="0"/>
          <w:right w:val="none" w:color="000000" w:sz="4" w:space="0"/>
        </w:tcBorders>
        <w:shd w:val="clear" w:color="ffffff" w:fill="auto"/>
      </w:tcPr>
    </w:tblStylePr>
  </w:style>
  <w:style w:type="table" w:styleId="763" w:customStyle="1">
    <w:name w:val="Grid Table 2 - Accent 2"/>
    <w:basedOn w:val="711"/>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tcBorders>
          <w:top w:val="none" w:color="000000" w:sz="4" w:space="0"/>
          <w:left w:val="none" w:color="000000" w:sz="4" w:space="0"/>
          <w:bottom w:val="single" w:color="D99695" w:themeColor="accent2" w:themeTint="97"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D99695" w:themeColor="accent2" w:themeTint="97" w:sz="4" w:space="0"/>
          <w:left w:val="none" w:color="000000" w:sz="4" w:space="0"/>
          <w:bottom w:val="none" w:color="000000" w:sz="4" w:space="0"/>
          <w:right w:val="none" w:color="000000" w:sz="4" w:space="0"/>
        </w:tcBorders>
        <w:shd w:val="clear" w:color="ffffff" w:fill="auto"/>
      </w:tcPr>
    </w:tblStylePr>
  </w:style>
  <w:style w:type="table" w:styleId="764" w:customStyle="1">
    <w:name w:val="Grid Table 2 - Accent 3"/>
    <w:basedOn w:val="711"/>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9ABB59" w:themeColor="accent3" w:themeTint="FE"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9ABB59" w:themeColor="accent3" w:themeTint="FE" w:sz="4" w:space="0"/>
          <w:left w:val="none" w:color="000000" w:sz="4" w:space="0"/>
          <w:bottom w:val="none" w:color="000000" w:sz="4" w:space="0"/>
          <w:right w:val="none" w:color="000000" w:sz="4" w:space="0"/>
        </w:tcBorders>
        <w:shd w:val="clear" w:color="ffffff" w:fill="auto"/>
      </w:tcPr>
    </w:tblStylePr>
  </w:style>
  <w:style w:type="table" w:styleId="765" w:customStyle="1">
    <w:name w:val="Grid Table 2 - Accent 4"/>
    <w:basedOn w:val="711"/>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B2A1C6" w:themeColor="accent4" w:themeTint="9A"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B2A1C6" w:themeColor="accent4" w:themeTint="9A" w:sz="4" w:space="0"/>
          <w:left w:val="none" w:color="000000" w:sz="4" w:space="0"/>
          <w:bottom w:val="none" w:color="000000" w:sz="4" w:space="0"/>
          <w:right w:val="none" w:color="000000" w:sz="4" w:space="0"/>
        </w:tcBorders>
        <w:shd w:val="clear" w:color="ffffff" w:fill="auto"/>
      </w:tcPr>
    </w:tblStylePr>
  </w:style>
  <w:style w:type="table" w:styleId="766" w:customStyle="1">
    <w:name w:val="Grid Table 2 - Accent 5"/>
    <w:basedOn w:val="711"/>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shd w:val="clear" w:color="ffffff" w:fill="auto"/>
      </w:tcPr>
    </w:tblStylePr>
  </w:style>
  <w:style w:type="table" w:styleId="767" w:customStyle="1">
    <w:name w:val="Grid Table 2 - Accent 6"/>
    <w:basedOn w:val="711"/>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shd w:val="clear" w:color="ffffff" w:fill="auto"/>
      </w:tcPr>
    </w:tblStylePr>
  </w:style>
  <w:style w:type="table" w:styleId="768">
    <w:name w:val="Grid Table 3"/>
    <w:basedOn w:val="71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769" w:customStyle="1">
    <w:name w:val="Grid Table 3 - Accent 1"/>
    <w:basedOn w:val="711"/>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770" w:customStyle="1">
    <w:name w:val="Grid Table 3 - Accent 2"/>
    <w:basedOn w:val="711"/>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771" w:customStyle="1">
    <w:name w:val="Grid Table 3 - Accent 3"/>
    <w:basedOn w:val="711"/>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772" w:customStyle="1">
    <w:name w:val="Grid Table 3 - Accent 4"/>
    <w:basedOn w:val="711"/>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773" w:customStyle="1">
    <w:name w:val="Grid Table 3 - Accent 5"/>
    <w:basedOn w:val="711"/>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774" w:customStyle="1">
    <w:name w:val="Grid Table 3 - Accent 6"/>
    <w:basedOn w:val="711"/>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775">
    <w:name w:val="Grid Table 4"/>
    <w:basedOn w:val="711"/>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6" w:customStyle="1">
    <w:name w:val="Grid Table 4 - Accent 1"/>
    <w:basedOn w:val="711"/>
    <w:uiPriority w:val="5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shd w:val="clear" w:color="5d8ac2" w:themeColor="accent1" w:themeTint="EA" w:fill="5d8ac2" w:themeFill="accent1" w:themeFillTint="EA"/>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777" w:customStyle="1">
    <w:name w:val="Grid Table 4 - Accent 2"/>
    <w:basedOn w:val="711"/>
    <w:uiPriority w:val="5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shd w:val="clear" w:color="d99695" w:themeColor="accent2" w:themeTint="97" w:fill="d99695" w:themeFill="accent2" w:themeFillTint="97"/>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778" w:customStyle="1">
    <w:name w:val="Grid Table 4 - Accent 3"/>
    <w:basedOn w:val="711"/>
    <w:uiPriority w:val="5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shd w:val="clear" w:color="9abb59" w:themeColor="accent3" w:themeTint="FE" w:fill="9abb59" w:themeFill="accent3" w:themeFillTint="FE"/>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779" w:customStyle="1">
    <w:name w:val="Grid Table 4 - Accent 4"/>
    <w:basedOn w:val="711"/>
    <w:uiPriority w:val="5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780" w:customStyle="1">
    <w:name w:val="Grid Table 4 - Accent 5"/>
    <w:basedOn w:val="711"/>
    <w:uiPriority w:val="5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781" w:customStyle="1">
    <w:name w:val="Grid Table 4 - Accent 6"/>
    <w:basedOn w:val="711"/>
    <w:uiPriority w:val="5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782">
    <w:name w:val="Grid Table 5 Dark"/>
    <w:basedOn w:val="71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style>
  <w:style w:type="table" w:styleId="783" w:customStyle="1">
    <w:name w:val="Grid Table 5 Dark- Accent 1"/>
    <w:basedOn w:val="71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style>
  <w:style w:type="table" w:styleId="784" w:customStyle="1">
    <w:name w:val="Grid Table 5 Dark - Accent 2"/>
    <w:basedOn w:val="71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style>
  <w:style w:type="table" w:styleId="785" w:customStyle="1">
    <w:name w:val="Grid Table 5 Dark - Accent 3"/>
    <w:basedOn w:val="71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style>
  <w:style w:type="table" w:styleId="786" w:customStyle="1">
    <w:name w:val="Grid Table 5 Dark- Accent 4"/>
    <w:basedOn w:val="71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style>
  <w:style w:type="table" w:styleId="787" w:customStyle="1">
    <w:name w:val="Grid Table 5 Dark - Accent 5"/>
    <w:basedOn w:val="71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style>
  <w:style w:type="table" w:styleId="788" w:customStyle="1">
    <w:name w:val="Grid Table 5 Dark - Accent 6"/>
    <w:basedOn w:val="71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style>
  <w:style w:type="table" w:styleId="789">
    <w:name w:val="Grid Table 6 Colorful"/>
    <w:basedOn w:val="711"/>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90" w:customStyle="1">
    <w:name w:val="Grid Table 6 Colorful - Accent 1"/>
    <w:basedOn w:val="711"/>
    <w:uiPriority w:val="99"/>
    <w:pPr>
      <w:spacing w:after="0" w:line="240" w:lineRule="auto"/>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791" w:customStyle="1">
    <w:name w:val="Grid Table 6 Colorful - Accent 2"/>
    <w:basedOn w:val="711"/>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792" w:customStyle="1">
    <w:name w:val="Grid Table 6 Colorful - Accent 3"/>
    <w:basedOn w:val="711"/>
    <w:uiPriority w:val="99"/>
    <w:pPr>
      <w:spacing w:after="0" w:line="240" w:lineRule="auto"/>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793" w:customStyle="1">
    <w:name w:val="Grid Table 6 Colorful - Accent 4"/>
    <w:basedOn w:val="711"/>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794" w:customStyle="1">
    <w:name w:val="Grid Table 6 Colorful - Accent 5"/>
    <w:basedOn w:val="711"/>
    <w:uiPriority w:val="99"/>
    <w:pPr>
      <w:spacing w:after="0" w:line="240" w:lineRule="auto"/>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795" w:customStyle="1">
    <w:name w:val="Grid Table 6 Colorful - Accent 6"/>
    <w:basedOn w:val="711"/>
    <w:uiPriority w:val="99"/>
    <w:pPr>
      <w:spacing w:after="0" w:line="240" w:lineRule="auto"/>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796">
    <w:name w:val="Grid Table 7 Colorful"/>
    <w:basedOn w:val="711"/>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tcBorders>
          <w:top w:val="none" w:color="000000" w:sz="0" w:space="0"/>
          <w:left w:val="none" w:color="000000" w:sz="0" w:space="0"/>
          <w:bottom w:val="none" w:color="000000" w:sz="0" w:space="0"/>
          <w:right w:val="single" w:color="7F7F7F" w:themeColor="text1" w:themeTint="80" w:sz="4" w:space="0"/>
        </w:tcBorders>
        <w:shd w:val="clear" w:color="ffffff" w:fill="auto"/>
      </w:tcPr>
    </w:tblStylePr>
    <w:tblStylePr w:type="firstRow">
      <w:rPr>
        <w:rFonts w:ascii="Arial" w:hAnsi="Arial"/>
        <w:b/>
        <w:color w:val="7f7f7f" w:themeColor="text1" w:themeTint="80" w:themeShade="95"/>
        <w:sz w:val="22"/>
      </w:rPr>
      <w:tcPr>
        <w:tcBorders>
          <w:top w:val="none" w:color="000000" w:sz="0" w:space="0"/>
          <w:left w:val="none" w:color="000000" w:sz="0" w:space="0"/>
          <w:bottom w:val="single" w:color="7F7F7F" w:themeColor="text1" w:themeTint="80" w:sz="4" w:space="0"/>
          <w:right w:val="none" w:color="000000" w:sz="0" w:space="0"/>
        </w:tcBorders>
        <w:shd w:val="clear" w:color="ffffff" w:themeColor="light1" w:fill="ffffff" w:themeFill="light1"/>
      </w:tcPr>
    </w:tblStylePr>
    <w:tblStylePr w:type="lastCol">
      <w:rPr>
        <w:rFonts w:ascii="Arial" w:hAnsi="Arial"/>
        <w:i/>
        <w:color w:val="7f7f7f" w:themeColor="text1" w:themeTint="80" w:themeShade="95"/>
        <w:sz w:val="22"/>
      </w:rPr>
      <w:tcPr>
        <w:tcBorders>
          <w:top w:val="none" w:color="000000" w:sz="0" w:space="0"/>
          <w:left w:val="single" w:color="7F7F7F" w:themeColor="text1" w:themeTint="80" w:sz="4" w:space="0"/>
          <w:bottom w:val="none" w:color="000000" w:sz="0" w:space="0"/>
          <w:right w:val="none" w:color="000000" w:sz="0" w:space="0"/>
        </w:tcBorders>
        <w:shd w:val="clear" w:color="ffffff" w:fill="auto"/>
      </w:tcPr>
    </w:tblStylePr>
    <w:tblStylePr w:type="lastRow">
      <w:rPr>
        <w:rFonts w:ascii="Arial" w:hAnsi="Arial"/>
        <w:b/>
        <w:color w:val="7f7f7f" w:themeColor="text1" w:themeTint="80" w:themeShade="95"/>
        <w:sz w:val="22"/>
      </w:rPr>
      <w:tcPr>
        <w:tcBorders>
          <w:top w:val="single" w:color="7F7F7F" w:themeColor="text1" w:themeTint="80" w:sz="4" w:space="0"/>
          <w:left w:val="none" w:color="000000" w:sz="0" w:space="0"/>
          <w:bottom w:val="none" w:color="000000" w:sz="0" w:space="0"/>
          <w:right w:val="none" w:color="000000" w:sz="0" w:space="0"/>
        </w:tcBorders>
        <w:shd w:val="clear" w:color="ffffff" w:themeColor="light1" w:fill="ffffff" w:themeFill="light1"/>
      </w:tcPr>
    </w:tblStylePr>
  </w:style>
  <w:style w:type="table" w:styleId="797" w:customStyle="1">
    <w:name w:val="Grid Table 7 Colorful - Accent 1"/>
    <w:basedOn w:val="711"/>
    <w:uiPriority w:val="99"/>
    <w:pPr>
      <w:spacing w:after="0" w:line="240" w:lineRule="auto"/>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tcBorders>
          <w:top w:val="none" w:color="000000" w:sz="0" w:space="0"/>
          <w:left w:val="none" w:color="000000" w:sz="0" w:space="0"/>
          <w:bottom w:val="none" w:color="000000" w:sz="0" w:space="0"/>
          <w:right w:val="single" w:color="A6BFDD" w:themeColor="accent1" w:themeTint="80" w:sz="4" w:space="0"/>
        </w:tcBorders>
        <w:shd w:val="clear" w:color="ffffff" w:fill="auto"/>
      </w:tcPr>
    </w:tblStylePr>
    <w:tblStylePr w:type="firstRow">
      <w:rPr>
        <w:rFonts w:ascii="Arial" w:hAnsi="Arial"/>
        <w:b/>
        <w:color w:val="a6bfdd" w:themeColor="accent1" w:themeTint="80" w:themeShade="95"/>
        <w:sz w:val="22"/>
      </w:rPr>
      <w:tcPr>
        <w:tcBorders>
          <w:top w:val="none" w:color="000000" w:sz="0" w:space="0"/>
          <w:left w:val="none" w:color="000000" w:sz="0" w:space="0"/>
          <w:bottom w:val="single" w:color="A6BFDD" w:themeColor="accent1" w:themeTint="80" w:sz="4" w:space="0"/>
          <w:right w:val="none" w:color="000000" w:sz="0" w:space="0"/>
        </w:tcBorders>
        <w:shd w:val="clear" w:color="ffffff" w:themeColor="light1" w:fill="ffffff" w:themeFill="light1"/>
      </w:tcPr>
    </w:tblStylePr>
    <w:tblStylePr w:type="lastCol">
      <w:rPr>
        <w:rFonts w:ascii="Arial" w:hAnsi="Arial"/>
        <w:i/>
        <w:color w:val="a6bfdd" w:themeColor="accent1" w:themeTint="80" w:themeShade="95"/>
        <w:sz w:val="22"/>
      </w:rPr>
      <w:tcPr>
        <w:tcBorders>
          <w:top w:val="none" w:color="000000" w:sz="0" w:space="0"/>
          <w:left w:val="single" w:color="A6BFDD" w:themeColor="accent1" w:themeTint="80" w:sz="4" w:space="0"/>
          <w:bottom w:val="none" w:color="000000" w:sz="0" w:space="0"/>
          <w:right w:val="none" w:color="000000" w:sz="0" w:space="0"/>
        </w:tcBorders>
        <w:shd w:val="clear" w:color="ffffff" w:fill="auto"/>
      </w:tcPr>
    </w:tblStylePr>
    <w:tblStylePr w:type="lastRow">
      <w:rPr>
        <w:rFonts w:ascii="Arial" w:hAnsi="Arial"/>
        <w:b/>
        <w:color w:val="a6bfdd" w:themeColor="accent1" w:themeTint="80" w:themeShade="95"/>
        <w:sz w:val="22"/>
      </w:rPr>
      <w:tcPr>
        <w:tcBorders>
          <w:top w:val="single" w:color="A6BFDD" w:themeColor="accent1" w:themeTint="80" w:sz="4" w:space="0"/>
          <w:left w:val="none" w:color="000000" w:sz="0" w:space="0"/>
          <w:bottom w:val="none" w:color="000000" w:sz="0" w:space="0"/>
          <w:right w:val="none" w:color="000000" w:sz="0" w:space="0"/>
        </w:tcBorders>
        <w:shd w:val="clear" w:color="ffffff" w:themeColor="light1" w:fill="ffffff" w:themeFill="light1"/>
      </w:tcPr>
    </w:tblStylePr>
  </w:style>
  <w:style w:type="table" w:styleId="798" w:customStyle="1">
    <w:name w:val="Grid Table 7 Colorful - Accent 2"/>
    <w:basedOn w:val="711"/>
    <w:uiPriority w:val="99"/>
    <w:pPr>
      <w:spacing w:after="0" w:line="240" w:lineRule="auto"/>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tcBorders>
          <w:top w:val="none" w:color="000000" w:sz="0" w:space="0"/>
          <w:left w:val="none" w:color="000000" w:sz="0" w:space="0"/>
          <w:bottom w:val="none" w:color="000000" w:sz="0" w:space="0"/>
          <w:right w:val="single" w:color="D99695" w:themeColor="accent2" w:themeTint="97" w:sz="4" w:space="0"/>
        </w:tcBorders>
        <w:shd w:val="clear" w:color="ffffff" w:fill="auto"/>
      </w:tcPr>
    </w:tblStylePr>
    <w:tblStylePr w:type="firstRow">
      <w:rPr>
        <w:rFonts w:ascii="Arial" w:hAnsi="Arial"/>
        <w:b/>
        <w:color w:val="d99695" w:themeColor="accent2" w:themeTint="97" w:themeShade="95"/>
        <w:sz w:val="22"/>
      </w:rPr>
      <w:tcPr>
        <w:tcBorders>
          <w:top w:val="none" w:color="000000" w:sz="0" w:space="0"/>
          <w:left w:val="none" w:color="000000" w:sz="0" w:space="0"/>
          <w:bottom w:val="single" w:color="D99695" w:themeColor="accent2" w:themeTint="97" w:sz="4" w:space="0"/>
          <w:right w:val="none" w:color="000000" w:sz="0" w:space="0"/>
        </w:tcBorders>
        <w:shd w:val="clear" w:color="ffffff" w:themeColor="light1" w:fill="ffffff" w:themeFill="light1"/>
      </w:tcPr>
    </w:tblStylePr>
    <w:tblStylePr w:type="lastCol">
      <w:rPr>
        <w:rFonts w:ascii="Arial" w:hAnsi="Arial"/>
        <w:i/>
        <w:color w:val="d99695" w:themeColor="accent2" w:themeTint="97" w:themeShade="95"/>
        <w:sz w:val="22"/>
      </w:rPr>
      <w:tcPr>
        <w:tcBorders>
          <w:top w:val="none" w:color="000000" w:sz="0" w:space="0"/>
          <w:left w:val="single" w:color="D99695" w:themeColor="accent2" w:themeTint="97" w:sz="4" w:space="0"/>
          <w:bottom w:val="none" w:color="000000" w:sz="0" w:space="0"/>
          <w:right w:val="none" w:color="000000" w:sz="0" w:space="0"/>
        </w:tcBorders>
        <w:shd w:val="clear" w:color="ffffff" w:fill="auto"/>
      </w:tcPr>
    </w:tblStylePr>
    <w:tblStylePr w:type="lastRow">
      <w:rPr>
        <w:rFonts w:ascii="Arial" w:hAnsi="Arial"/>
        <w:b/>
        <w:color w:val="d99695" w:themeColor="accent2" w:themeTint="97" w:themeShade="95"/>
        <w:sz w:val="22"/>
      </w:rPr>
      <w:tcPr>
        <w:tcBorders>
          <w:top w:val="single" w:color="D99695" w:themeColor="accent2" w:themeTint="97" w:sz="4" w:space="0"/>
          <w:left w:val="none" w:color="000000" w:sz="0" w:space="0"/>
          <w:bottom w:val="none" w:color="000000" w:sz="0" w:space="0"/>
          <w:right w:val="none" w:color="000000" w:sz="0" w:space="0"/>
        </w:tcBorders>
        <w:shd w:val="clear" w:color="ffffff" w:themeColor="light1" w:fill="ffffff" w:themeFill="light1"/>
      </w:tcPr>
    </w:tblStylePr>
  </w:style>
  <w:style w:type="table" w:styleId="799" w:customStyle="1">
    <w:name w:val="Grid Table 7 Colorful - Accent 3"/>
    <w:basedOn w:val="711"/>
    <w:uiPriority w:val="99"/>
    <w:pPr>
      <w:spacing w:after="0" w:line="240" w:lineRule="auto"/>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tcBorders>
          <w:top w:val="none" w:color="000000" w:sz="0" w:space="0"/>
          <w:left w:val="none" w:color="000000" w:sz="0" w:space="0"/>
          <w:bottom w:val="none" w:color="000000" w:sz="0" w:space="0"/>
          <w:right w:val="single" w:color="9ABB59" w:themeColor="accent3" w:themeTint="FE" w:sz="4" w:space="0"/>
        </w:tcBorders>
        <w:shd w:val="clear" w:color="ffffff" w:fill="auto"/>
      </w:tcPr>
    </w:tblStylePr>
    <w:tblStylePr w:type="firstRow">
      <w:rPr>
        <w:rFonts w:ascii="Arial" w:hAnsi="Arial"/>
        <w:b/>
        <w:color w:val="9abb59" w:themeColor="accent3" w:themeTint="FE" w:themeShade="95"/>
        <w:sz w:val="22"/>
      </w:rPr>
      <w:tcPr>
        <w:tcBorders>
          <w:top w:val="none" w:color="000000" w:sz="0" w:space="0"/>
          <w:left w:val="none" w:color="000000" w:sz="0" w:space="0"/>
          <w:bottom w:val="single" w:color="9ABB59" w:themeColor="accent3" w:themeTint="FE" w:sz="4" w:space="0"/>
          <w:right w:val="none" w:color="000000" w:sz="0" w:space="0"/>
        </w:tcBorders>
        <w:shd w:val="clear" w:color="ffffff" w:themeColor="light1" w:fill="ffffff" w:themeFill="light1"/>
      </w:tcPr>
    </w:tblStylePr>
    <w:tblStylePr w:type="lastCol">
      <w:rPr>
        <w:rFonts w:ascii="Arial" w:hAnsi="Arial"/>
        <w:i/>
        <w:color w:val="9abb59" w:themeColor="accent3" w:themeTint="FE" w:themeShade="95"/>
        <w:sz w:val="22"/>
      </w:rPr>
      <w:tcPr>
        <w:tcBorders>
          <w:top w:val="none" w:color="000000" w:sz="0" w:space="0"/>
          <w:left w:val="single" w:color="9ABB59" w:themeColor="accent3" w:themeTint="FE" w:sz="4" w:space="0"/>
          <w:bottom w:val="none" w:color="000000" w:sz="0" w:space="0"/>
          <w:right w:val="none" w:color="000000" w:sz="0" w:space="0"/>
        </w:tcBorders>
        <w:shd w:val="clear" w:color="ffffff" w:fill="auto"/>
      </w:tcPr>
    </w:tblStylePr>
    <w:tblStylePr w:type="lastRow">
      <w:rPr>
        <w:rFonts w:ascii="Arial" w:hAnsi="Arial"/>
        <w:b/>
        <w:color w:val="9abb59" w:themeColor="accent3" w:themeTint="FE" w:themeShade="95"/>
        <w:sz w:val="22"/>
      </w:rPr>
      <w:tcPr>
        <w:tcBorders>
          <w:top w:val="single" w:color="9ABB59" w:themeColor="accent3" w:themeTint="FE" w:sz="4" w:space="0"/>
          <w:left w:val="none" w:color="000000" w:sz="0" w:space="0"/>
          <w:bottom w:val="none" w:color="000000" w:sz="0" w:space="0"/>
          <w:right w:val="none" w:color="000000" w:sz="0" w:space="0"/>
        </w:tcBorders>
        <w:shd w:val="clear" w:color="ffffff" w:themeColor="light1" w:fill="ffffff" w:themeFill="light1"/>
      </w:tcPr>
    </w:tblStylePr>
  </w:style>
  <w:style w:type="table" w:styleId="800" w:customStyle="1">
    <w:name w:val="Grid Table 7 Colorful - Accent 4"/>
    <w:basedOn w:val="711"/>
    <w:uiPriority w:val="99"/>
    <w:pPr>
      <w:spacing w:after="0" w:line="240" w:lineRule="auto"/>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tcBorders>
          <w:top w:val="none" w:color="000000" w:sz="0" w:space="0"/>
          <w:left w:val="none" w:color="000000" w:sz="0" w:space="0"/>
          <w:bottom w:val="none" w:color="000000" w:sz="0" w:space="0"/>
          <w:right w:val="single" w:color="B2A1C6" w:themeColor="accent4" w:themeTint="9A" w:sz="4" w:space="0"/>
        </w:tcBorders>
        <w:shd w:val="clear" w:color="ffffff" w:fill="auto"/>
      </w:tcPr>
    </w:tblStylePr>
    <w:tblStylePr w:type="firstRow">
      <w:rPr>
        <w:rFonts w:ascii="Arial" w:hAnsi="Arial"/>
        <w:b/>
        <w:color w:val="b2a1c6" w:themeColor="accent4" w:themeTint="9A" w:themeShade="95"/>
        <w:sz w:val="22"/>
      </w:rPr>
      <w:tcPr>
        <w:tcBorders>
          <w:top w:val="none" w:color="000000" w:sz="0" w:space="0"/>
          <w:left w:val="none" w:color="000000" w:sz="0" w:space="0"/>
          <w:bottom w:val="single" w:color="B2A1C6" w:themeColor="accent4" w:themeTint="9A" w:sz="4" w:space="0"/>
          <w:right w:val="none" w:color="000000" w:sz="0" w:space="0"/>
        </w:tcBorders>
        <w:shd w:val="clear" w:color="ffffff" w:themeColor="light1" w:fill="ffffff" w:themeFill="light1"/>
      </w:tcPr>
    </w:tblStylePr>
    <w:tblStylePr w:type="lastCol">
      <w:rPr>
        <w:rFonts w:ascii="Arial" w:hAnsi="Arial"/>
        <w:i/>
        <w:color w:val="b2a1c6" w:themeColor="accent4" w:themeTint="9A" w:themeShade="95"/>
        <w:sz w:val="22"/>
      </w:rPr>
      <w:tcPr>
        <w:tcBorders>
          <w:top w:val="none" w:color="000000" w:sz="0" w:space="0"/>
          <w:left w:val="single" w:color="B2A1C6" w:themeColor="accent4" w:themeTint="9A" w:sz="4" w:space="0"/>
          <w:bottom w:val="none" w:color="000000" w:sz="0" w:space="0"/>
          <w:right w:val="none" w:color="000000" w:sz="0" w:space="0"/>
        </w:tcBorders>
        <w:shd w:val="clear" w:color="ffffff" w:fill="auto"/>
      </w:tcPr>
    </w:tblStylePr>
    <w:tblStylePr w:type="lastRow">
      <w:rPr>
        <w:rFonts w:ascii="Arial" w:hAnsi="Arial"/>
        <w:b/>
        <w:color w:val="b2a1c6" w:themeColor="accent4" w:themeTint="9A" w:themeShade="95"/>
        <w:sz w:val="22"/>
      </w:rPr>
      <w:tcPr>
        <w:tcBorders>
          <w:top w:val="single" w:color="B2A1C6" w:themeColor="accent4" w:themeTint="9A" w:sz="4" w:space="0"/>
          <w:left w:val="none" w:color="000000" w:sz="0" w:space="0"/>
          <w:bottom w:val="none" w:color="000000" w:sz="0" w:space="0"/>
          <w:right w:val="none" w:color="000000" w:sz="0" w:space="0"/>
        </w:tcBorders>
        <w:shd w:val="clear" w:color="ffffff" w:themeColor="light1" w:fill="ffffff" w:themeFill="light1"/>
      </w:tcPr>
    </w:tblStylePr>
  </w:style>
  <w:style w:type="table" w:styleId="801" w:customStyle="1">
    <w:name w:val="Grid Table 7 Colorful - Accent 5"/>
    <w:basedOn w:val="711"/>
    <w:uiPriority w:val="99"/>
    <w:pPr>
      <w:spacing w:after="0" w:line="240" w:lineRule="auto"/>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tcBorders>
          <w:top w:val="none" w:color="000000" w:sz="0" w:space="0"/>
          <w:left w:val="none" w:color="000000" w:sz="0" w:space="0"/>
          <w:bottom w:val="none" w:color="000000" w:sz="0" w:space="0"/>
          <w:right w:val="single" w:color="99D0DE" w:themeColor="accent5" w:themeTint="90" w:sz="4" w:space="0"/>
        </w:tcBorders>
        <w:shd w:val="clear" w:color="ffffff" w:fill="auto"/>
      </w:tcPr>
    </w:tblStylePr>
    <w:tblStylePr w:type="firstRow">
      <w:rPr>
        <w:rFonts w:ascii="Arial" w:hAnsi="Arial"/>
        <w:b/>
        <w:color w:val="266779" w:themeColor="accent5" w:themeShade="95"/>
        <w:sz w:val="22"/>
      </w:rPr>
      <w:tcPr>
        <w:tcBorders>
          <w:top w:val="none" w:color="000000" w:sz="0" w:space="0"/>
          <w:left w:val="none" w:color="000000" w:sz="0" w:space="0"/>
          <w:bottom w:val="single" w:color="99D0DE" w:themeColor="accent5" w:themeTint="90" w:sz="4" w:space="0"/>
          <w:right w:val="none" w:color="000000" w:sz="0" w:space="0"/>
        </w:tcBorders>
        <w:shd w:val="clear" w:color="ffffff" w:themeColor="light1" w:fill="ffffff" w:themeFill="light1"/>
      </w:tcPr>
    </w:tblStylePr>
    <w:tblStylePr w:type="lastCol">
      <w:rPr>
        <w:rFonts w:ascii="Arial" w:hAnsi="Arial"/>
        <w:i/>
        <w:color w:val="266779" w:themeColor="accent5" w:themeShade="95"/>
        <w:sz w:val="22"/>
      </w:rPr>
      <w:tcPr>
        <w:tcBorders>
          <w:top w:val="none" w:color="000000" w:sz="0" w:space="0"/>
          <w:left w:val="single" w:color="99D0DE" w:themeColor="accent5" w:themeTint="90" w:sz="4" w:space="0"/>
          <w:bottom w:val="none" w:color="000000" w:sz="0" w:space="0"/>
          <w:right w:val="none" w:color="000000" w:sz="0" w:space="0"/>
        </w:tcBorders>
        <w:shd w:val="clear" w:color="ffffff" w:fill="auto"/>
      </w:tcPr>
    </w:tblStylePr>
    <w:tblStylePr w:type="lastRow">
      <w:rPr>
        <w:rFonts w:ascii="Arial" w:hAnsi="Arial"/>
        <w:b/>
        <w:color w:val="266779" w:themeColor="accent5" w:themeShade="95"/>
        <w:sz w:val="22"/>
      </w:rPr>
      <w:tcPr>
        <w:tcBorders>
          <w:top w:val="single" w:color="99D0DE" w:themeColor="accent5" w:themeTint="90" w:sz="4" w:space="0"/>
          <w:left w:val="none" w:color="000000" w:sz="0" w:space="0"/>
          <w:bottom w:val="none" w:color="000000" w:sz="0" w:space="0"/>
          <w:right w:val="none" w:color="000000" w:sz="0" w:space="0"/>
        </w:tcBorders>
        <w:shd w:val="clear" w:color="ffffff" w:themeColor="light1" w:fill="ffffff" w:themeFill="light1"/>
      </w:tcPr>
    </w:tblStylePr>
  </w:style>
  <w:style w:type="table" w:styleId="802" w:customStyle="1">
    <w:name w:val="Grid Table 7 Colorful - Accent 6"/>
    <w:basedOn w:val="711"/>
    <w:uiPriority w:val="99"/>
    <w:pPr>
      <w:spacing w:after="0" w:line="240" w:lineRule="auto"/>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tcBorders>
          <w:top w:val="none" w:color="000000" w:sz="0" w:space="0"/>
          <w:left w:val="none" w:color="000000" w:sz="0" w:space="0"/>
          <w:bottom w:val="none" w:color="000000" w:sz="0" w:space="0"/>
          <w:right w:val="single" w:color="FAC396" w:themeColor="accent6" w:themeTint="90" w:sz="4" w:space="0"/>
        </w:tcBorders>
        <w:shd w:val="clear" w:color="ffffff" w:fill="auto"/>
      </w:tcPr>
    </w:tblStylePr>
    <w:tblStylePr w:type="firstRow">
      <w:rPr>
        <w:rFonts w:ascii="Arial" w:hAnsi="Arial"/>
        <w:b/>
        <w:color w:val="b15407" w:themeColor="accent6" w:themeShade="95"/>
        <w:sz w:val="22"/>
      </w:rPr>
      <w:tcPr>
        <w:tcBorders>
          <w:top w:val="none" w:color="000000" w:sz="0" w:space="0"/>
          <w:left w:val="none" w:color="000000" w:sz="0" w:space="0"/>
          <w:bottom w:val="single" w:color="FAC396" w:themeColor="accent6" w:themeTint="90" w:sz="4" w:space="0"/>
          <w:right w:val="none" w:color="000000" w:sz="0" w:space="0"/>
        </w:tcBorders>
        <w:shd w:val="clear" w:color="ffffff" w:themeColor="light1" w:fill="ffffff" w:themeFill="light1"/>
      </w:tcPr>
    </w:tblStylePr>
    <w:tblStylePr w:type="lastCol">
      <w:rPr>
        <w:rFonts w:ascii="Arial" w:hAnsi="Arial"/>
        <w:i/>
        <w:color w:val="b15407" w:themeColor="accent6" w:themeShade="95"/>
        <w:sz w:val="22"/>
      </w:rPr>
      <w:tcPr>
        <w:tcBorders>
          <w:top w:val="none" w:color="000000" w:sz="0" w:space="0"/>
          <w:left w:val="single" w:color="FAC396" w:themeColor="accent6" w:themeTint="90" w:sz="4" w:space="0"/>
          <w:bottom w:val="none" w:color="000000" w:sz="0" w:space="0"/>
          <w:right w:val="none" w:color="000000" w:sz="0" w:space="0"/>
        </w:tcBorders>
        <w:shd w:val="clear" w:color="ffffff" w:fill="auto"/>
      </w:tcPr>
    </w:tblStylePr>
    <w:tblStylePr w:type="lastRow">
      <w:rPr>
        <w:rFonts w:ascii="Arial" w:hAnsi="Arial"/>
        <w:b/>
        <w:color w:val="b15407" w:themeColor="accent6" w:themeShade="95"/>
        <w:sz w:val="22"/>
      </w:rPr>
      <w:tcPr>
        <w:tcBorders>
          <w:top w:val="single" w:color="FAC396" w:themeColor="accent6" w:themeTint="90" w:sz="4" w:space="0"/>
          <w:left w:val="none" w:color="000000" w:sz="0" w:space="0"/>
          <w:bottom w:val="none" w:color="000000" w:sz="0" w:space="0"/>
          <w:right w:val="none" w:color="000000" w:sz="0" w:space="0"/>
        </w:tcBorders>
        <w:shd w:val="clear" w:color="ffffff" w:themeColor="light1" w:fill="ffffff" w:themeFill="light1"/>
      </w:tcPr>
    </w:tblStylePr>
  </w:style>
  <w:style w:type="table" w:styleId="803">
    <w:name w:val="List Table 1 Light"/>
    <w:basedOn w:val="711"/>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04" w:customStyle="1">
    <w:name w:val="List Table 1 Light - Accent 1"/>
    <w:basedOn w:val="711"/>
    <w:uiPriority w:val="99"/>
    <w:pPr>
      <w:spacing w:after="0" w:line="240" w:lineRule="auto"/>
    </w:pPr>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805" w:customStyle="1">
    <w:name w:val="List Table 1 Light - Accent 2"/>
    <w:basedOn w:val="711"/>
    <w:uiPriority w:val="99"/>
    <w:pPr>
      <w:spacing w:after="0" w:line="240" w:lineRule="auto"/>
    </w:pPr>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806" w:customStyle="1">
    <w:name w:val="List Table 1 Light - Accent 3"/>
    <w:basedOn w:val="711"/>
    <w:uiPriority w:val="99"/>
    <w:pPr>
      <w:spacing w:after="0" w:line="240" w:lineRule="auto"/>
    </w:pPr>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807" w:customStyle="1">
    <w:name w:val="List Table 1 Light - Accent 4"/>
    <w:basedOn w:val="711"/>
    <w:uiPriority w:val="99"/>
    <w:pPr>
      <w:spacing w:after="0" w:line="240" w:lineRule="auto"/>
    </w:pPr>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808" w:customStyle="1">
    <w:name w:val="List Table 1 Light - Accent 5"/>
    <w:basedOn w:val="711"/>
    <w:uiPriority w:val="99"/>
    <w:pPr>
      <w:spacing w:after="0" w:line="240" w:lineRule="auto"/>
    </w:pPr>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809" w:customStyle="1">
    <w:name w:val="List Table 1 Light - Accent 6"/>
    <w:basedOn w:val="711"/>
    <w:uiPriority w:val="99"/>
    <w:pPr>
      <w:spacing w:after="0" w:line="240" w:lineRule="auto"/>
    </w:pPr>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810">
    <w:name w:val="List Table 2"/>
    <w:basedOn w:val="711"/>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11" w:customStyle="1">
    <w:name w:val="List Table 2 - Accent 1"/>
    <w:basedOn w:val="711"/>
    <w:uiPriority w:val="99"/>
    <w:pPr>
      <w:spacing w:after="0" w:line="240" w:lineRule="auto"/>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812" w:customStyle="1">
    <w:name w:val="List Table 2 - Accent 2"/>
    <w:basedOn w:val="711"/>
    <w:uiPriority w:val="99"/>
    <w:pPr>
      <w:spacing w:after="0" w:line="240" w:lineRule="auto"/>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813" w:customStyle="1">
    <w:name w:val="List Table 2 - Accent 3"/>
    <w:basedOn w:val="711"/>
    <w:uiPriority w:val="99"/>
    <w:pPr>
      <w:spacing w:after="0" w:line="240" w:lineRule="auto"/>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814" w:customStyle="1">
    <w:name w:val="List Table 2 - Accent 4"/>
    <w:basedOn w:val="711"/>
    <w:uiPriority w:val="99"/>
    <w:pPr>
      <w:spacing w:after="0" w:line="240" w:lineRule="auto"/>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815" w:customStyle="1">
    <w:name w:val="List Table 2 - Accent 5"/>
    <w:basedOn w:val="711"/>
    <w:uiPriority w:val="99"/>
    <w:pPr>
      <w:spacing w:after="0" w:line="240" w:lineRule="auto"/>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816" w:customStyle="1">
    <w:name w:val="List Table 2 - Accent 6"/>
    <w:basedOn w:val="711"/>
    <w:uiPriority w:val="99"/>
    <w:pPr>
      <w:spacing w:after="0" w:line="240" w:lineRule="auto"/>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817">
    <w:name w:val="List Table 3"/>
    <w:basedOn w:val="71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18" w:customStyle="1">
    <w:name w:val="List Table 3 - Accent 1"/>
    <w:basedOn w:val="711"/>
    <w:uiPriority w:val="99"/>
    <w:pPr>
      <w:spacing w:after="0" w:line="240" w:lineRule="auto"/>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19" w:customStyle="1">
    <w:name w:val="List Table 3 - Accent 2"/>
    <w:basedOn w:val="711"/>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820" w:customStyle="1">
    <w:name w:val="List Table 3 - Accent 3"/>
    <w:basedOn w:val="711"/>
    <w:uiPriority w:val="99"/>
    <w:pPr>
      <w:spacing w:after="0" w:line="240" w:lineRule="auto"/>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821" w:customStyle="1">
    <w:name w:val="List Table 3 - Accent 4"/>
    <w:basedOn w:val="711"/>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822" w:customStyle="1">
    <w:name w:val="List Table 3 - Accent 5"/>
    <w:basedOn w:val="711"/>
    <w:uiPriority w:val="99"/>
    <w:pPr>
      <w:spacing w:after="0" w:line="240" w:lineRule="auto"/>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823" w:customStyle="1">
    <w:name w:val="List Table 3 - Accent 6"/>
    <w:basedOn w:val="711"/>
    <w:uiPriority w:val="99"/>
    <w:pPr>
      <w:spacing w:after="0" w:line="240" w:lineRule="auto"/>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824">
    <w:name w:val="List Table 4"/>
    <w:basedOn w:val="71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25" w:customStyle="1">
    <w:name w:val="List Table 4 - Accent 1"/>
    <w:basedOn w:val="711"/>
    <w:uiPriority w:val="9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26" w:customStyle="1">
    <w:name w:val="List Table 4 - Accent 2"/>
    <w:basedOn w:val="711"/>
    <w:uiPriority w:val="9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827" w:customStyle="1">
    <w:name w:val="List Table 4 - Accent 3"/>
    <w:basedOn w:val="711"/>
    <w:uiPriority w:val="9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828" w:customStyle="1">
    <w:name w:val="List Table 4 - Accent 4"/>
    <w:basedOn w:val="711"/>
    <w:uiPriority w:val="9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829" w:customStyle="1">
    <w:name w:val="List Table 4 - Accent 5"/>
    <w:basedOn w:val="711"/>
    <w:uiPriority w:val="9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830" w:customStyle="1">
    <w:name w:val="List Table 4 - Accent 6"/>
    <w:basedOn w:val="711"/>
    <w:uiPriority w:val="9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831">
    <w:name w:val="List Table 5 Dark"/>
    <w:basedOn w:val="711"/>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1Vert">
      <w:tcPr>
        <w:tcBorders>
          <w:left w:val="single" w:color="FFFFFF" w:themeColor="light1" w:sz="4" w:space="0"/>
          <w:right w:val="single" w:color="FFFFFF" w:themeColor="light1" w:sz="4" w:space="0"/>
        </w:tcBorders>
        <w:shd w:val="clear" w:color="7f7f7f" w:themeColor="text1" w:themeTint="80" w:fill="7f7f7f" w:themeFill="text1" w:themeFillTint="80"/>
      </w:tcPr>
    </w:tblStylePr>
    <w:tblStylePr w:type="band2Horz">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tcBorders>
          <w:top w:val="single" w:color="7F7F7F" w:themeColor="text1" w:themeTint="80" w:sz="32" w:space="0"/>
          <w:bottom w:val="single" w:color="FFFFFF" w:themeColor="light1" w:sz="12" w:space="0"/>
        </w:tcBorders>
        <w:shd w:val="clear" w:color="7f7f7f" w:themeColor="text1" w:themeTint="80" w:fill="7f7f7f" w:themeFill="text1" w:themeFillTint="80"/>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32" w:customStyle="1">
    <w:name w:val="List Table 5 Dark - Accent 1"/>
    <w:basedOn w:val="711"/>
    <w:uiPriority w:val="99"/>
    <w:pPr>
      <w:spacing w:after="0" w:line="240" w:lineRule="auto"/>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tcBorders>
          <w:top w:val="single" w:color="4F81BD" w:themeColor="accent1" w:sz="32" w:space="0"/>
          <w:bottom w:val="single" w:color="FFFFFF" w:themeColor="light1" w:sz="12" w:space="0"/>
        </w:tcBorders>
        <w:shd w:val="clear" w:color="4f81bd" w:themeColor="accent1" w:fill="4f81bd" w:themeFill="accent1"/>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833" w:customStyle="1">
    <w:name w:val="List Table 5 Dark - Accent 2"/>
    <w:basedOn w:val="711"/>
    <w:uiPriority w:val="99"/>
    <w:pPr>
      <w:spacing w:after="0" w:line="240" w:lineRule="auto"/>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tcBorders>
          <w:top w:val="single" w:color="FFFFFF" w:themeColor="light1" w:sz="4" w:space="0"/>
          <w:bottom w:val="single" w:color="FFFFFF" w:themeColor="light1" w:sz="4" w:space="0"/>
        </w:tcBorders>
        <w:shd w:val="clear" w:color="d99695" w:themeColor="accent2" w:themeTint="97" w:fill="d99695" w:themeFill="accent2" w:themeFillTint="97"/>
      </w:tcPr>
    </w:tblStylePr>
    <w:tblStylePr w:type="band1Vert">
      <w:tcPr>
        <w:tcBorders>
          <w:left w:val="single" w:color="FFFFFF" w:themeColor="light1" w:sz="4" w:space="0"/>
          <w:right w:val="single" w:color="FFFFFF" w:themeColor="light1" w:sz="4" w:space="0"/>
        </w:tcBorders>
        <w:shd w:val="clear" w:color="d99695" w:themeColor="accent2" w:themeTint="97" w:fill="d99695" w:themeFill="accent2" w:themeFillTint="97"/>
      </w:tcPr>
    </w:tblStylePr>
    <w:tblStylePr w:type="band2Horz">
      <w:tcPr>
        <w:tcBorders>
          <w:top w:val="single" w:color="FFFFFF" w:themeColor="light1" w:sz="4" w:space="0"/>
          <w:bottom w:val="single" w:color="FFFFFF" w:themeColor="light1" w:sz="4" w:space="0"/>
        </w:tcBorders>
        <w:shd w:val="clear" w:color="d99695" w:themeColor="accent2" w:themeTint="97" w:fill="d99695" w:themeFill="accent2" w:themeFillTint="97"/>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tcBorders>
          <w:top w:val="single" w:color="D99695" w:themeColor="accent2" w:themeTint="97" w:sz="32" w:space="0"/>
          <w:bottom w:val="single" w:color="FFFFFF" w:themeColor="light1" w:sz="12" w:space="0"/>
        </w:tcBorders>
        <w:shd w:val="clear" w:color="d99695" w:themeColor="accent2" w:themeTint="97" w:fill="d99695" w:themeFill="accent2" w:themeFillTint="97"/>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834" w:customStyle="1">
    <w:name w:val="List Table 5 Dark - Accent 3"/>
    <w:basedOn w:val="711"/>
    <w:uiPriority w:val="99"/>
    <w:pPr>
      <w:spacing w:after="0" w:line="240" w:lineRule="auto"/>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tcBorders>
          <w:top w:val="single" w:color="FFFFFF" w:themeColor="light1" w:sz="4" w:space="0"/>
          <w:bottom w:val="single" w:color="FFFFFF" w:themeColor="light1" w:sz="4" w:space="0"/>
        </w:tcBorders>
        <w:shd w:val="clear" w:color="c3d69b" w:themeColor="accent3" w:themeTint="98" w:fill="c3d69b" w:themeFill="accent3" w:themeFillTint="98"/>
      </w:tcPr>
    </w:tblStylePr>
    <w:tblStylePr w:type="band1Vert">
      <w:tcPr>
        <w:tcBorders>
          <w:left w:val="single" w:color="FFFFFF" w:themeColor="light1" w:sz="4" w:space="0"/>
          <w:right w:val="single" w:color="FFFFFF" w:themeColor="light1" w:sz="4" w:space="0"/>
        </w:tcBorders>
        <w:shd w:val="clear" w:color="c3d69b" w:themeColor="accent3" w:themeTint="98" w:fill="c3d69b" w:themeFill="accent3" w:themeFillTint="98"/>
      </w:tcPr>
    </w:tblStylePr>
    <w:tblStylePr w:type="band2Horz">
      <w:tcPr>
        <w:tcBorders>
          <w:top w:val="single" w:color="FFFFFF" w:themeColor="light1" w:sz="4" w:space="0"/>
          <w:bottom w:val="single" w:color="FFFFFF" w:themeColor="light1" w:sz="4" w:space="0"/>
        </w:tcBorders>
        <w:shd w:val="clear" w:color="c3d69b" w:themeColor="accent3" w:themeTint="98" w:fill="c3d69b" w:themeFill="accent3" w:themeFillTint="98"/>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tcBorders>
          <w:top w:val="single" w:color="C3D69B" w:themeColor="accent3" w:themeTint="98" w:sz="32" w:space="0"/>
          <w:bottom w:val="single" w:color="FFFFFF" w:themeColor="light1" w:sz="12" w:space="0"/>
        </w:tcBorders>
        <w:shd w:val="clear" w:color="c3d69b" w:themeColor="accent3" w:themeTint="98" w:fill="c3d69b" w:themeFill="accent3" w:themeFillTint="98"/>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835" w:customStyle="1">
    <w:name w:val="List Table 5 Dark - Accent 4"/>
    <w:basedOn w:val="711"/>
    <w:uiPriority w:val="99"/>
    <w:pPr>
      <w:spacing w:after="0" w:line="240" w:lineRule="auto"/>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836" w:customStyle="1">
    <w:name w:val="List Table 5 Dark - Accent 5"/>
    <w:basedOn w:val="711"/>
    <w:uiPriority w:val="99"/>
    <w:pPr>
      <w:spacing w:after="0" w:line="240" w:lineRule="auto"/>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837" w:customStyle="1">
    <w:name w:val="List Table 5 Dark - Accent 6"/>
    <w:basedOn w:val="711"/>
    <w:uiPriority w:val="99"/>
    <w:pPr>
      <w:spacing w:after="0" w:line="240" w:lineRule="auto"/>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838">
    <w:name w:val="List Table 6 Colorful"/>
    <w:basedOn w:val="711"/>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39" w:customStyle="1">
    <w:name w:val="List Table 6 Colorful - Accent 1"/>
    <w:basedOn w:val="711"/>
    <w:uiPriority w:val="99"/>
    <w:pPr>
      <w:spacing w:after="0" w:line="240" w:lineRule="auto"/>
    </w:pPr>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840" w:customStyle="1">
    <w:name w:val="List Table 6 Colorful - Accent 2"/>
    <w:basedOn w:val="711"/>
    <w:uiPriority w:val="99"/>
    <w:pPr>
      <w:spacing w:after="0" w:line="240" w:lineRule="auto"/>
    </w:pPr>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841" w:customStyle="1">
    <w:name w:val="List Table 6 Colorful - Accent 3"/>
    <w:basedOn w:val="711"/>
    <w:uiPriority w:val="99"/>
    <w:pPr>
      <w:spacing w:after="0" w:line="240" w:lineRule="auto"/>
    </w:pPr>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842" w:customStyle="1">
    <w:name w:val="List Table 6 Colorful - Accent 4"/>
    <w:basedOn w:val="711"/>
    <w:uiPriority w:val="99"/>
    <w:pPr>
      <w:spacing w:after="0" w:line="240" w:lineRule="auto"/>
    </w:pPr>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843" w:customStyle="1">
    <w:name w:val="List Table 6 Colorful - Accent 5"/>
    <w:basedOn w:val="711"/>
    <w:uiPriority w:val="99"/>
    <w:pPr>
      <w:spacing w:after="0" w:line="240" w:lineRule="auto"/>
    </w:pPr>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844" w:customStyle="1">
    <w:name w:val="List Table 6 Colorful - Accent 6"/>
    <w:basedOn w:val="711"/>
    <w:uiPriority w:val="99"/>
    <w:pPr>
      <w:spacing w:after="0" w:line="240" w:lineRule="auto"/>
    </w:pPr>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845">
    <w:name w:val="List Table 7 Colorful"/>
    <w:basedOn w:val="711"/>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tcBorders>
          <w:top w:val="none" w:color="000000" w:sz="0" w:space="0"/>
          <w:left w:val="none" w:color="000000" w:sz="0" w:space="0"/>
          <w:bottom w:val="none" w:color="000000" w:sz="0" w:space="0"/>
          <w:right w:val="single" w:color="7F7F7F" w:themeColor="text1" w:themeTint="80" w:sz="4" w:space="0"/>
        </w:tcBorders>
        <w:shd w:val="clear" w:color="ffffff" w:fill="auto"/>
      </w:tcPr>
    </w:tblStylePr>
    <w:tblStylePr w:type="firstRow">
      <w:rPr>
        <w:rFonts w:ascii="Arial" w:hAnsi="Arial"/>
        <w:i/>
        <w:color w:val="7f7f7f" w:themeColor="text1" w:themeTint="80" w:themeShade="95"/>
        <w:sz w:val="22"/>
      </w:rPr>
      <w:tcPr>
        <w:tcBorders>
          <w:top w:val="none" w:color="000000" w:sz="0" w:space="0"/>
          <w:left w:val="none" w:color="000000" w:sz="0" w:space="0"/>
          <w:bottom w:val="single" w:color="7F7F7F" w:themeColor="text1" w:themeTint="80" w:sz="4" w:space="0"/>
          <w:right w:val="none" w:color="000000" w:sz="0" w:space="0"/>
        </w:tcBorders>
        <w:shd w:val="clear" w:color="ffffff" w:themeColor="light1" w:fill="ffffff" w:themeFill="light1"/>
      </w:tcPr>
    </w:tblStylePr>
    <w:tblStylePr w:type="lastCol">
      <w:rPr>
        <w:rFonts w:ascii="Arial" w:hAnsi="Arial"/>
        <w:i/>
        <w:color w:val="7f7f7f" w:themeColor="text1" w:themeTint="80" w:themeShade="95"/>
        <w:sz w:val="22"/>
      </w:rPr>
      <w:tcPr>
        <w:tcBorders>
          <w:top w:val="none" w:color="000000" w:sz="0" w:space="0"/>
          <w:left w:val="single" w:color="7F7F7F" w:themeColor="text1" w:themeTint="80" w:sz="4" w:space="0"/>
          <w:bottom w:val="none" w:color="000000" w:sz="0" w:space="0"/>
          <w:right w:val="none" w:color="000000" w:sz="0" w:space="0"/>
        </w:tcBorders>
        <w:shd w:val="clear" w:color="ffffff" w:fill="auto"/>
      </w:tcPr>
    </w:tblStylePr>
    <w:tblStylePr w:type="lastRow">
      <w:rPr>
        <w:rFonts w:ascii="Arial" w:hAnsi="Arial"/>
        <w:i/>
        <w:color w:val="7f7f7f" w:themeColor="text1" w:themeTint="80" w:themeShade="95"/>
        <w:sz w:val="22"/>
      </w:rPr>
      <w:tcPr>
        <w:tcBorders>
          <w:top w:val="single" w:color="7F7F7F" w:themeColor="text1" w:themeTint="80" w:sz="4" w:space="0"/>
          <w:left w:val="none" w:color="000000" w:sz="0" w:space="0"/>
          <w:bottom w:val="none" w:color="000000" w:sz="0" w:space="0"/>
          <w:right w:val="none" w:color="000000" w:sz="0" w:space="0"/>
        </w:tcBorders>
        <w:shd w:val="clear" w:color="ffffff" w:themeColor="light1" w:fill="ffffff" w:themeFill="light1"/>
      </w:tcPr>
    </w:tblStylePr>
  </w:style>
  <w:style w:type="table" w:styleId="846" w:customStyle="1">
    <w:name w:val="List Table 7 Colorful - Accent 1"/>
    <w:basedOn w:val="711"/>
    <w:uiPriority w:val="99"/>
    <w:pPr>
      <w:spacing w:after="0" w:line="240" w:lineRule="auto"/>
    </w:pPr>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tcBorders>
          <w:top w:val="none" w:color="000000" w:sz="0" w:space="0"/>
          <w:left w:val="none" w:color="000000" w:sz="0" w:space="0"/>
          <w:bottom w:val="none" w:color="000000" w:sz="0" w:space="0"/>
          <w:right w:val="single" w:color="4F81BD" w:themeColor="accent1" w:sz="4" w:space="0"/>
        </w:tcBorders>
        <w:shd w:val="clear" w:color="ffffff" w:fill="auto"/>
      </w:tcPr>
    </w:tblStylePr>
    <w:tblStylePr w:type="firstRow">
      <w:rPr>
        <w:rFonts w:ascii="Arial" w:hAnsi="Arial"/>
        <w:i/>
        <w:color w:val="2a4a71" w:themeColor="accent1" w:themeShade="95"/>
        <w:sz w:val="22"/>
      </w:rPr>
      <w:tcPr>
        <w:tcBorders>
          <w:top w:val="none" w:color="000000" w:sz="0" w:space="0"/>
          <w:left w:val="none" w:color="000000" w:sz="0" w:space="0"/>
          <w:bottom w:val="single" w:color="4F81BD" w:themeColor="accent1" w:sz="4" w:space="0"/>
          <w:right w:val="none" w:color="000000" w:sz="0" w:space="0"/>
        </w:tcBorders>
        <w:shd w:val="clear" w:color="ffffff" w:themeColor="light1" w:fill="ffffff" w:themeFill="light1"/>
      </w:tcPr>
    </w:tblStylePr>
    <w:tblStylePr w:type="lastCol">
      <w:rPr>
        <w:rFonts w:ascii="Arial" w:hAnsi="Arial"/>
        <w:i/>
        <w:color w:val="2a4a71" w:themeColor="accent1" w:themeShade="95"/>
        <w:sz w:val="22"/>
      </w:rPr>
      <w:tcPr>
        <w:tcBorders>
          <w:top w:val="none" w:color="000000" w:sz="0" w:space="0"/>
          <w:left w:val="single" w:color="4F81BD" w:themeColor="accent1" w:sz="4" w:space="0"/>
          <w:bottom w:val="none" w:color="000000" w:sz="0" w:space="0"/>
          <w:right w:val="none" w:color="000000" w:sz="0" w:space="0"/>
        </w:tcBorders>
        <w:shd w:val="clear" w:color="ffffff" w:fill="auto"/>
      </w:tcPr>
    </w:tblStylePr>
    <w:tblStylePr w:type="lastRow">
      <w:rPr>
        <w:rFonts w:ascii="Arial" w:hAnsi="Arial"/>
        <w:i/>
        <w:color w:val="2a4a71" w:themeColor="accent1" w:themeShade="95"/>
        <w:sz w:val="22"/>
      </w:rPr>
      <w:tcPr>
        <w:tcBorders>
          <w:top w:val="single" w:color="4F81BD" w:themeColor="accent1" w:sz="4" w:space="0"/>
          <w:left w:val="none" w:color="000000" w:sz="0" w:space="0"/>
          <w:bottom w:val="none" w:color="000000" w:sz="0" w:space="0"/>
          <w:right w:val="none" w:color="000000" w:sz="0" w:space="0"/>
        </w:tcBorders>
        <w:shd w:val="clear" w:color="ffffff" w:themeColor="light1" w:fill="ffffff" w:themeFill="light1"/>
      </w:tcPr>
    </w:tblStylePr>
  </w:style>
  <w:style w:type="table" w:styleId="847" w:customStyle="1">
    <w:name w:val="List Table 7 Colorful - Accent 2"/>
    <w:basedOn w:val="711"/>
    <w:uiPriority w:val="99"/>
    <w:pPr>
      <w:spacing w:after="0" w:line="240" w:lineRule="auto"/>
    </w:pPr>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tcBorders>
          <w:top w:val="none" w:color="000000" w:sz="0" w:space="0"/>
          <w:left w:val="none" w:color="000000" w:sz="0" w:space="0"/>
          <w:bottom w:val="none" w:color="000000" w:sz="0" w:space="0"/>
          <w:right w:val="single" w:color="D99695" w:themeColor="accent2" w:themeTint="97" w:sz="4" w:space="0"/>
        </w:tcBorders>
        <w:shd w:val="clear" w:color="ffffff" w:fill="auto"/>
      </w:tcPr>
    </w:tblStylePr>
    <w:tblStylePr w:type="firstRow">
      <w:rPr>
        <w:rFonts w:ascii="Arial" w:hAnsi="Arial"/>
        <w:i/>
        <w:color w:val="d99695" w:themeColor="accent2" w:themeTint="97" w:themeShade="95"/>
        <w:sz w:val="22"/>
      </w:rPr>
      <w:tcPr>
        <w:tcBorders>
          <w:top w:val="none" w:color="000000" w:sz="0" w:space="0"/>
          <w:left w:val="none" w:color="000000" w:sz="0" w:space="0"/>
          <w:bottom w:val="single" w:color="D99695" w:themeColor="accent2" w:themeTint="97" w:sz="4" w:space="0"/>
          <w:right w:val="none" w:color="000000" w:sz="0" w:space="0"/>
        </w:tcBorders>
        <w:shd w:val="clear" w:color="ffffff" w:themeColor="light1" w:fill="ffffff" w:themeFill="light1"/>
      </w:tcPr>
    </w:tblStylePr>
    <w:tblStylePr w:type="lastCol">
      <w:rPr>
        <w:rFonts w:ascii="Arial" w:hAnsi="Arial"/>
        <w:i/>
        <w:color w:val="d99695" w:themeColor="accent2" w:themeTint="97" w:themeShade="95"/>
        <w:sz w:val="22"/>
      </w:rPr>
      <w:tcPr>
        <w:tcBorders>
          <w:top w:val="none" w:color="000000" w:sz="0" w:space="0"/>
          <w:left w:val="single" w:color="D99695" w:themeColor="accent2" w:themeTint="97" w:sz="4" w:space="0"/>
          <w:bottom w:val="none" w:color="000000" w:sz="0" w:space="0"/>
          <w:right w:val="none" w:color="000000" w:sz="0" w:space="0"/>
        </w:tcBorders>
        <w:shd w:val="clear" w:color="ffffff" w:fill="auto"/>
      </w:tcPr>
    </w:tblStylePr>
    <w:tblStylePr w:type="lastRow">
      <w:rPr>
        <w:rFonts w:ascii="Arial" w:hAnsi="Arial"/>
        <w:i/>
        <w:color w:val="d99695" w:themeColor="accent2" w:themeTint="97" w:themeShade="95"/>
        <w:sz w:val="22"/>
      </w:rPr>
      <w:tcPr>
        <w:tcBorders>
          <w:top w:val="single" w:color="D99695" w:themeColor="accent2" w:themeTint="97" w:sz="4" w:space="0"/>
          <w:left w:val="none" w:color="000000" w:sz="0" w:space="0"/>
          <w:bottom w:val="none" w:color="000000" w:sz="0" w:space="0"/>
          <w:right w:val="none" w:color="000000" w:sz="0" w:space="0"/>
        </w:tcBorders>
        <w:shd w:val="clear" w:color="ffffff" w:themeColor="light1" w:fill="ffffff" w:themeFill="light1"/>
      </w:tcPr>
    </w:tblStylePr>
  </w:style>
  <w:style w:type="table" w:styleId="848" w:customStyle="1">
    <w:name w:val="List Table 7 Colorful - Accent 3"/>
    <w:basedOn w:val="711"/>
    <w:uiPriority w:val="99"/>
    <w:pPr>
      <w:spacing w:after="0" w:line="240" w:lineRule="auto"/>
    </w:pPr>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tcBorders>
          <w:top w:val="none" w:color="000000" w:sz="0" w:space="0"/>
          <w:left w:val="none" w:color="000000" w:sz="0" w:space="0"/>
          <w:bottom w:val="none" w:color="000000" w:sz="0" w:space="0"/>
          <w:right w:val="single" w:color="C3D69B" w:themeColor="accent3" w:themeTint="98" w:sz="4" w:space="0"/>
        </w:tcBorders>
        <w:shd w:val="clear" w:color="ffffff" w:fill="auto"/>
      </w:tcPr>
    </w:tblStylePr>
    <w:tblStylePr w:type="firstRow">
      <w:rPr>
        <w:rFonts w:ascii="Arial" w:hAnsi="Arial"/>
        <w:i/>
        <w:color w:val="c3d69b" w:themeColor="accent3" w:themeTint="98" w:themeShade="95"/>
        <w:sz w:val="22"/>
      </w:rPr>
      <w:tcPr>
        <w:tcBorders>
          <w:top w:val="none" w:color="000000" w:sz="0" w:space="0"/>
          <w:left w:val="none" w:color="000000" w:sz="0" w:space="0"/>
          <w:bottom w:val="single" w:color="C3D69B" w:themeColor="accent3" w:themeTint="98" w:sz="4" w:space="0"/>
          <w:right w:val="none" w:color="000000" w:sz="0" w:space="0"/>
        </w:tcBorders>
        <w:shd w:val="clear" w:color="ffffff" w:themeColor="light1" w:fill="ffffff" w:themeFill="light1"/>
      </w:tcPr>
    </w:tblStylePr>
    <w:tblStylePr w:type="lastCol">
      <w:rPr>
        <w:rFonts w:ascii="Arial" w:hAnsi="Arial"/>
        <w:i/>
        <w:color w:val="c3d69b" w:themeColor="accent3" w:themeTint="98" w:themeShade="95"/>
        <w:sz w:val="22"/>
      </w:rPr>
      <w:tcPr>
        <w:tcBorders>
          <w:top w:val="none" w:color="000000" w:sz="0" w:space="0"/>
          <w:left w:val="single" w:color="C3D69B" w:themeColor="accent3" w:themeTint="98" w:sz="4" w:space="0"/>
          <w:bottom w:val="none" w:color="000000" w:sz="0" w:space="0"/>
          <w:right w:val="none" w:color="000000" w:sz="0" w:space="0"/>
        </w:tcBorders>
        <w:shd w:val="clear" w:color="ffffff" w:fill="auto"/>
      </w:tcPr>
    </w:tblStylePr>
    <w:tblStylePr w:type="lastRow">
      <w:rPr>
        <w:rFonts w:ascii="Arial" w:hAnsi="Arial"/>
        <w:i/>
        <w:color w:val="c3d69b" w:themeColor="accent3" w:themeTint="98" w:themeShade="95"/>
        <w:sz w:val="22"/>
      </w:rPr>
      <w:tcPr>
        <w:tcBorders>
          <w:top w:val="single" w:color="C3D69B" w:themeColor="accent3" w:themeTint="98" w:sz="4" w:space="0"/>
          <w:left w:val="none" w:color="000000" w:sz="0" w:space="0"/>
          <w:bottom w:val="none" w:color="000000" w:sz="0" w:space="0"/>
          <w:right w:val="none" w:color="000000" w:sz="0" w:space="0"/>
        </w:tcBorders>
        <w:shd w:val="clear" w:color="ffffff" w:themeColor="light1" w:fill="ffffff" w:themeFill="light1"/>
      </w:tcPr>
    </w:tblStylePr>
  </w:style>
  <w:style w:type="table" w:styleId="849" w:customStyle="1">
    <w:name w:val="List Table 7 Colorful - Accent 4"/>
    <w:basedOn w:val="711"/>
    <w:uiPriority w:val="99"/>
    <w:pPr>
      <w:spacing w:after="0" w:line="240" w:lineRule="auto"/>
    </w:pPr>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tcBorders>
          <w:top w:val="none" w:color="000000" w:sz="0" w:space="0"/>
          <w:left w:val="none" w:color="000000" w:sz="0" w:space="0"/>
          <w:bottom w:val="none" w:color="000000" w:sz="0" w:space="0"/>
          <w:right w:val="single" w:color="B2A1C6" w:themeColor="accent4" w:themeTint="9A" w:sz="4" w:space="0"/>
        </w:tcBorders>
        <w:shd w:val="clear" w:color="ffffff" w:fill="auto"/>
      </w:tcPr>
    </w:tblStylePr>
    <w:tblStylePr w:type="firstRow">
      <w:rPr>
        <w:rFonts w:ascii="Arial" w:hAnsi="Arial"/>
        <w:i/>
        <w:color w:val="b2a1c6" w:themeColor="accent4" w:themeTint="9A" w:themeShade="95"/>
        <w:sz w:val="22"/>
      </w:rPr>
      <w:tcPr>
        <w:tcBorders>
          <w:top w:val="none" w:color="000000" w:sz="0" w:space="0"/>
          <w:left w:val="none" w:color="000000" w:sz="0" w:space="0"/>
          <w:bottom w:val="single" w:color="B2A1C6" w:themeColor="accent4" w:themeTint="9A" w:sz="4" w:space="0"/>
          <w:right w:val="none" w:color="000000" w:sz="0" w:space="0"/>
        </w:tcBorders>
        <w:shd w:val="clear" w:color="ffffff" w:themeColor="light1" w:fill="ffffff" w:themeFill="light1"/>
      </w:tcPr>
    </w:tblStylePr>
    <w:tblStylePr w:type="lastCol">
      <w:rPr>
        <w:rFonts w:ascii="Arial" w:hAnsi="Arial"/>
        <w:i/>
        <w:color w:val="b2a1c6" w:themeColor="accent4" w:themeTint="9A" w:themeShade="95"/>
        <w:sz w:val="22"/>
      </w:rPr>
      <w:tcPr>
        <w:tcBorders>
          <w:top w:val="none" w:color="000000" w:sz="0" w:space="0"/>
          <w:left w:val="single" w:color="B2A1C6" w:themeColor="accent4" w:themeTint="9A" w:sz="4" w:space="0"/>
          <w:bottom w:val="none" w:color="000000" w:sz="0" w:space="0"/>
          <w:right w:val="none" w:color="000000" w:sz="0" w:space="0"/>
        </w:tcBorders>
        <w:shd w:val="clear" w:color="ffffff" w:fill="auto"/>
      </w:tcPr>
    </w:tblStylePr>
    <w:tblStylePr w:type="lastRow">
      <w:rPr>
        <w:rFonts w:ascii="Arial" w:hAnsi="Arial"/>
        <w:i/>
        <w:color w:val="b2a1c6" w:themeColor="accent4" w:themeTint="9A" w:themeShade="95"/>
        <w:sz w:val="22"/>
      </w:rPr>
      <w:tcPr>
        <w:tcBorders>
          <w:top w:val="single" w:color="B2A1C6" w:themeColor="accent4" w:themeTint="9A" w:sz="4" w:space="0"/>
          <w:left w:val="none" w:color="000000" w:sz="0" w:space="0"/>
          <w:bottom w:val="none" w:color="000000" w:sz="0" w:space="0"/>
          <w:right w:val="none" w:color="000000" w:sz="0" w:space="0"/>
        </w:tcBorders>
        <w:shd w:val="clear" w:color="ffffff" w:themeColor="light1" w:fill="ffffff" w:themeFill="light1"/>
      </w:tcPr>
    </w:tblStylePr>
  </w:style>
  <w:style w:type="table" w:styleId="850" w:customStyle="1">
    <w:name w:val="List Table 7 Colorful - Accent 5"/>
    <w:basedOn w:val="711"/>
    <w:uiPriority w:val="99"/>
    <w:pPr>
      <w:spacing w:after="0" w:line="240" w:lineRule="auto"/>
    </w:pPr>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tcBorders>
          <w:top w:val="none" w:color="000000" w:sz="0" w:space="0"/>
          <w:left w:val="none" w:color="000000" w:sz="0" w:space="0"/>
          <w:bottom w:val="none" w:color="000000" w:sz="0" w:space="0"/>
          <w:right w:val="single" w:color="92CCDC" w:themeColor="accent5" w:themeTint="9A" w:sz="4" w:space="0"/>
        </w:tcBorders>
        <w:shd w:val="clear" w:color="ffffff" w:fill="auto"/>
      </w:tcPr>
    </w:tblStylePr>
    <w:tblStylePr w:type="firstRow">
      <w:rPr>
        <w:rFonts w:ascii="Arial" w:hAnsi="Arial"/>
        <w:i/>
        <w:color w:val="92ccdc" w:themeColor="accent5" w:themeTint="9A" w:themeShade="95"/>
        <w:sz w:val="22"/>
      </w:rPr>
      <w:tcPr>
        <w:tcBorders>
          <w:top w:val="none" w:color="000000" w:sz="0" w:space="0"/>
          <w:left w:val="none" w:color="000000" w:sz="0" w:space="0"/>
          <w:bottom w:val="single" w:color="92CCDC" w:themeColor="accent5" w:themeTint="9A" w:sz="4" w:space="0"/>
          <w:right w:val="none" w:color="000000" w:sz="0" w:space="0"/>
        </w:tcBorders>
        <w:shd w:val="clear" w:color="ffffff" w:themeColor="light1" w:fill="ffffff" w:themeFill="light1"/>
      </w:tcPr>
    </w:tblStylePr>
    <w:tblStylePr w:type="lastCol">
      <w:rPr>
        <w:rFonts w:ascii="Arial" w:hAnsi="Arial"/>
        <w:i/>
        <w:color w:val="92ccdc" w:themeColor="accent5" w:themeTint="9A" w:themeShade="95"/>
        <w:sz w:val="22"/>
      </w:rPr>
      <w:tcPr>
        <w:tcBorders>
          <w:top w:val="none" w:color="000000" w:sz="0" w:space="0"/>
          <w:left w:val="single" w:color="92CCDC" w:themeColor="accent5" w:themeTint="9A" w:sz="4" w:space="0"/>
          <w:bottom w:val="none" w:color="000000" w:sz="0" w:space="0"/>
          <w:right w:val="none" w:color="000000" w:sz="0" w:space="0"/>
        </w:tcBorders>
        <w:shd w:val="clear" w:color="ffffff" w:fill="auto"/>
      </w:tcPr>
    </w:tblStylePr>
    <w:tblStylePr w:type="lastRow">
      <w:rPr>
        <w:rFonts w:ascii="Arial" w:hAnsi="Arial"/>
        <w:i/>
        <w:color w:val="92ccdc" w:themeColor="accent5" w:themeTint="9A" w:themeShade="95"/>
        <w:sz w:val="22"/>
      </w:rPr>
      <w:tcPr>
        <w:tcBorders>
          <w:top w:val="single" w:color="92CCDC" w:themeColor="accent5" w:themeTint="9A" w:sz="4" w:space="0"/>
          <w:left w:val="none" w:color="000000" w:sz="0" w:space="0"/>
          <w:bottom w:val="none" w:color="000000" w:sz="0" w:space="0"/>
          <w:right w:val="none" w:color="000000" w:sz="0" w:space="0"/>
        </w:tcBorders>
        <w:shd w:val="clear" w:color="ffffff" w:themeColor="light1" w:fill="ffffff" w:themeFill="light1"/>
      </w:tcPr>
    </w:tblStylePr>
  </w:style>
  <w:style w:type="table" w:styleId="851" w:customStyle="1">
    <w:name w:val="List Table 7 Colorful - Accent 6"/>
    <w:basedOn w:val="711"/>
    <w:uiPriority w:val="99"/>
    <w:pPr>
      <w:spacing w:after="0" w:line="240" w:lineRule="auto"/>
    </w:pPr>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tcBorders>
          <w:top w:val="none" w:color="000000" w:sz="0" w:space="0"/>
          <w:left w:val="none" w:color="000000" w:sz="0" w:space="0"/>
          <w:bottom w:val="none" w:color="000000" w:sz="0" w:space="0"/>
          <w:right w:val="single" w:color="FAC090" w:themeColor="accent6" w:themeTint="98" w:sz="4" w:space="0"/>
        </w:tcBorders>
        <w:shd w:val="clear" w:color="ffffff" w:fill="auto"/>
      </w:tcPr>
    </w:tblStylePr>
    <w:tblStylePr w:type="firstRow">
      <w:rPr>
        <w:rFonts w:ascii="Arial" w:hAnsi="Arial"/>
        <w:i/>
        <w:color w:val="fac090" w:themeColor="accent6" w:themeTint="98" w:themeShade="95"/>
        <w:sz w:val="22"/>
      </w:rPr>
      <w:tcPr>
        <w:tcBorders>
          <w:top w:val="none" w:color="000000" w:sz="0" w:space="0"/>
          <w:left w:val="none" w:color="000000" w:sz="0" w:space="0"/>
          <w:bottom w:val="single" w:color="FAC090" w:themeColor="accent6" w:themeTint="98" w:sz="4" w:space="0"/>
          <w:right w:val="none" w:color="000000" w:sz="0" w:space="0"/>
        </w:tcBorders>
        <w:shd w:val="clear" w:color="ffffff" w:themeColor="light1" w:fill="ffffff" w:themeFill="light1"/>
      </w:tcPr>
    </w:tblStylePr>
    <w:tblStylePr w:type="lastCol">
      <w:rPr>
        <w:rFonts w:ascii="Arial" w:hAnsi="Arial"/>
        <w:i/>
        <w:color w:val="fac090" w:themeColor="accent6" w:themeTint="98" w:themeShade="95"/>
        <w:sz w:val="22"/>
      </w:rPr>
      <w:tcPr>
        <w:tcBorders>
          <w:top w:val="none" w:color="000000" w:sz="0" w:space="0"/>
          <w:left w:val="single" w:color="FAC090" w:themeColor="accent6" w:themeTint="98" w:sz="4" w:space="0"/>
          <w:bottom w:val="none" w:color="000000" w:sz="0" w:space="0"/>
          <w:right w:val="none" w:color="000000" w:sz="0" w:space="0"/>
        </w:tcBorders>
        <w:shd w:val="clear" w:color="ffffff" w:fill="auto"/>
      </w:tcPr>
    </w:tblStylePr>
    <w:tblStylePr w:type="lastRow">
      <w:rPr>
        <w:rFonts w:ascii="Arial" w:hAnsi="Arial"/>
        <w:i/>
        <w:color w:val="fac090" w:themeColor="accent6" w:themeTint="98" w:themeShade="95"/>
        <w:sz w:val="22"/>
      </w:rPr>
      <w:tcPr>
        <w:tcBorders>
          <w:top w:val="single" w:color="FAC090" w:themeColor="accent6" w:themeTint="98" w:sz="4" w:space="0"/>
          <w:left w:val="none" w:color="000000" w:sz="0" w:space="0"/>
          <w:bottom w:val="none" w:color="000000" w:sz="0" w:space="0"/>
          <w:right w:val="none" w:color="000000" w:sz="0" w:space="0"/>
        </w:tcBorders>
        <w:shd w:val="clear" w:color="ffffff" w:themeColor="light1" w:fill="ffffff" w:themeFill="light1"/>
      </w:tcPr>
    </w:tblStylePr>
  </w:style>
  <w:style w:type="table" w:styleId="852" w:customStyle="1">
    <w:name w:val="Lined - Accent"/>
    <w:basedOn w:val="711"/>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53" w:customStyle="1">
    <w:name w:val="Lined - Accent 1"/>
    <w:basedOn w:val="711"/>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54" w:customStyle="1">
    <w:name w:val="Lined - Accent 2"/>
    <w:basedOn w:val="711"/>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55" w:customStyle="1">
    <w:name w:val="Lined - Accent 3"/>
    <w:basedOn w:val="711"/>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56" w:customStyle="1">
    <w:name w:val="Lined - Accent 4"/>
    <w:basedOn w:val="711"/>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57" w:customStyle="1">
    <w:name w:val="Lined - Accent 5"/>
    <w:basedOn w:val="711"/>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58" w:customStyle="1">
    <w:name w:val="Lined - Accent 6"/>
    <w:basedOn w:val="711"/>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59" w:customStyle="1">
    <w:name w:val="Bordered &amp; Lined - Accent"/>
    <w:basedOn w:val="711"/>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60" w:customStyle="1">
    <w:name w:val="Bordered &amp; Lined - Accent 1"/>
    <w:basedOn w:val="711"/>
    <w:uiPriority w:val="99"/>
    <w:pPr>
      <w:spacing w:after="0" w:line="240" w:lineRule="auto"/>
    </w:pPr>
    <w:rPr>
      <w:color w:val="404040"/>
      <w:sz w:val="20"/>
      <w:szCs w:val="20"/>
      <w:lang w:eastAsia="ru-RU"/>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61" w:customStyle="1">
    <w:name w:val="Bordered &amp; Lined - Accent 2"/>
    <w:basedOn w:val="711"/>
    <w:uiPriority w:val="99"/>
    <w:pPr>
      <w:spacing w:after="0" w:line="240" w:lineRule="auto"/>
    </w:pPr>
    <w:rPr>
      <w:color w:val="404040"/>
      <w:sz w:val="20"/>
      <w:szCs w:val="20"/>
      <w:lang w:eastAsia="ru-RU"/>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62" w:customStyle="1">
    <w:name w:val="Bordered &amp; Lined - Accent 3"/>
    <w:basedOn w:val="711"/>
    <w:uiPriority w:val="99"/>
    <w:pPr>
      <w:spacing w:after="0" w:line="240" w:lineRule="auto"/>
    </w:pPr>
    <w:rPr>
      <w:color w:val="404040"/>
      <w:sz w:val="20"/>
      <w:szCs w:val="20"/>
      <w:lang w:eastAsia="ru-RU"/>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63" w:customStyle="1">
    <w:name w:val="Bordered &amp; Lined - Accent 4"/>
    <w:basedOn w:val="711"/>
    <w:uiPriority w:val="99"/>
    <w:pPr>
      <w:spacing w:after="0" w:line="240" w:lineRule="auto"/>
    </w:pPr>
    <w:rPr>
      <w:color w:val="404040"/>
      <w:sz w:val="20"/>
      <w:szCs w:val="20"/>
      <w:lang w:eastAsia="ru-RU"/>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64" w:customStyle="1">
    <w:name w:val="Bordered &amp; Lined - Accent 5"/>
    <w:basedOn w:val="711"/>
    <w:uiPriority w:val="99"/>
    <w:pPr>
      <w:spacing w:after="0" w:line="240" w:lineRule="auto"/>
    </w:pPr>
    <w:rPr>
      <w:color w:val="404040"/>
      <w:sz w:val="20"/>
      <w:szCs w:val="20"/>
      <w:lang w:eastAsia="ru-RU"/>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65" w:customStyle="1">
    <w:name w:val="Bordered &amp; Lined - Accent 6"/>
    <w:basedOn w:val="711"/>
    <w:uiPriority w:val="99"/>
    <w:pPr>
      <w:spacing w:after="0" w:line="240" w:lineRule="auto"/>
    </w:pPr>
    <w:rPr>
      <w:color w:val="404040"/>
      <w:sz w:val="20"/>
      <w:szCs w:val="20"/>
      <w:lang w:eastAsia="ru-RU"/>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66" w:customStyle="1">
    <w:name w:val="Bordered"/>
    <w:basedOn w:val="711"/>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67" w:customStyle="1">
    <w:name w:val="Bordered - Accent 1"/>
    <w:basedOn w:val="711"/>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868" w:customStyle="1">
    <w:name w:val="Bordered - Accent 2"/>
    <w:basedOn w:val="711"/>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869" w:customStyle="1">
    <w:name w:val="Bordered - Accent 3"/>
    <w:basedOn w:val="711"/>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870" w:customStyle="1">
    <w:name w:val="Bordered - Accent 4"/>
    <w:basedOn w:val="711"/>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871" w:customStyle="1">
    <w:name w:val="Bordered - Accent 5"/>
    <w:basedOn w:val="711"/>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872" w:customStyle="1">
    <w:name w:val="Bordered - Accent 6"/>
    <w:basedOn w:val="711"/>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paragraph" w:styleId="873">
    <w:name w:val="footnote text"/>
    <w:basedOn w:val="700"/>
    <w:link w:val="874"/>
    <w:uiPriority w:val="99"/>
    <w:semiHidden/>
    <w:unhideWhenUsed/>
    <w:pPr>
      <w:spacing w:after="40"/>
    </w:pPr>
    <w:rPr>
      <w:sz w:val="18"/>
    </w:rPr>
  </w:style>
  <w:style w:type="character" w:styleId="874" w:customStyle="1">
    <w:name w:val="Текст сноски Знак"/>
    <w:link w:val="873"/>
    <w:uiPriority w:val="99"/>
    <w:rPr>
      <w:sz w:val="18"/>
    </w:rPr>
  </w:style>
  <w:style w:type="character" w:styleId="875">
    <w:name w:val="footnote reference"/>
    <w:basedOn w:val="710"/>
    <w:uiPriority w:val="99"/>
    <w:unhideWhenUsed/>
    <w:rPr>
      <w:vertAlign w:val="superscript"/>
    </w:rPr>
  </w:style>
  <w:style w:type="paragraph" w:styleId="876">
    <w:name w:val="endnote text"/>
    <w:basedOn w:val="700"/>
    <w:link w:val="877"/>
    <w:uiPriority w:val="99"/>
    <w:semiHidden/>
    <w:unhideWhenUsed/>
    <w:rPr>
      <w:sz w:val="20"/>
    </w:rPr>
  </w:style>
  <w:style w:type="character" w:styleId="877" w:customStyle="1">
    <w:name w:val="Текст концевой сноски Знак"/>
    <w:link w:val="876"/>
    <w:uiPriority w:val="99"/>
    <w:rPr>
      <w:sz w:val="20"/>
    </w:rPr>
  </w:style>
  <w:style w:type="character" w:styleId="878">
    <w:name w:val="endnote reference"/>
    <w:basedOn w:val="710"/>
    <w:uiPriority w:val="99"/>
    <w:semiHidden/>
    <w:unhideWhenUsed/>
    <w:rPr>
      <w:vertAlign w:val="superscript"/>
    </w:rPr>
  </w:style>
  <w:style w:type="paragraph" w:styleId="879">
    <w:name w:val="toc 1"/>
    <w:basedOn w:val="700"/>
    <w:next w:val="700"/>
    <w:uiPriority w:val="39"/>
    <w:unhideWhenUsed/>
    <w:pPr>
      <w:spacing w:after="57"/>
    </w:pPr>
  </w:style>
  <w:style w:type="paragraph" w:styleId="880">
    <w:name w:val="toc 2"/>
    <w:basedOn w:val="700"/>
    <w:next w:val="700"/>
    <w:uiPriority w:val="39"/>
    <w:unhideWhenUsed/>
    <w:pPr>
      <w:spacing w:after="57"/>
      <w:ind w:left="283"/>
    </w:pPr>
  </w:style>
  <w:style w:type="paragraph" w:styleId="881">
    <w:name w:val="toc 3"/>
    <w:basedOn w:val="700"/>
    <w:next w:val="700"/>
    <w:uiPriority w:val="39"/>
    <w:unhideWhenUsed/>
    <w:pPr>
      <w:spacing w:after="57"/>
      <w:ind w:left="567"/>
    </w:pPr>
  </w:style>
  <w:style w:type="paragraph" w:styleId="882">
    <w:name w:val="toc 4"/>
    <w:basedOn w:val="700"/>
    <w:next w:val="700"/>
    <w:uiPriority w:val="39"/>
    <w:unhideWhenUsed/>
    <w:pPr>
      <w:spacing w:after="57"/>
      <w:ind w:left="850"/>
    </w:pPr>
  </w:style>
  <w:style w:type="paragraph" w:styleId="883">
    <w:name w:val="toc 5"/>
    <w:basedOn w:val="700"/>
    <w:next w:val="700"/>
    <w:uiPriority w:val="39"/>
    <w:unhideWhenUsed/>
    <w:pPr>
      <w:spacing w:after="57"/>
      <w:ind w:left="1134"/>
    </w:pPr>
  </w:style>
  <w:style w:type="paragraph" w:styleId="884">
    <w:name w:val="toc 6"/>
    <w:basedOn w:val="700"/>
    <w:next w:val="700"/>
    <w:uiPriority w:val="39"/>
    <w:unhideWhenUsed/>
    <w:pPr>
      <w:spacing w:after="57"/>
      <w:ind w:left="1417"/>
    </w:pPr>
  </w:style>
  <w:style w:type="paragraph" w:styleId="885">
    <w:name w:val="toc 7"/>
    <w:basedOn w:val="700"/>
    <w:next w:val="700"/>
    <w:uiPriority w:val="39"/>
    <w:unhideWhenUsed/>
    <w:pPr>
      <w:spacing w:after="57"/>
      <w:ind w:left="1701"/>
    </w:pPr>
  </w:style>
  <w:style w:type="paragraph" w:styleId="886">
    <w:name w:val="toc 8"/>
    <w:basedOn w:val="700"/>
    <w:next w:val="700"/>
    <w:uiPriority w:val="39"/>
    <w:unhideWhenUsed/>
    <w:pPr>
      <w:spacing w:after="57"/>
      <w:ind w:left="1984"/>
    </w:pPr>
  </w:style>
  <w:style w:type="paragraph" w:styleId="887">
    <w:name w:val="toc 9"/>
    <w:basedOn w:val="700"/>
    <w:next w:val="700"/>
    <w:uiPriority w:val="39"/>
    <w:unhideWhenUsed/>
    <w:pPr>
      <w:spacing w:after="57"/>
      <w:ind w:left="2268"/>
    </w:pPr>
  </w:style>
  <w:style w:type="paragraph" w:styleId="888">
    <w:name w:val="TOC Heading"/>
    <w:uiPriority w:val="39"/>
    <w:unhideWhenUsed/>
  </w:style>
  <w:style w:type="paragraph" w:styleId="889">
    <w:name w:val="table of figures"/>
    <w:basedOn w:val="700"/>
    <w:next w:val="700"/>
    <w:uiPriority w:val="99"/>
    <w:unhideWhenUsed/>
  </w:style>
  <w:style w:type="paragraph" w:styleId="890" w:customStyle="1">
    <w:name w:val="Абзац списка1"/>
    <w:basedOn w:val="700"/>
    <w:pPr>
      <w:widowControl/>
      <w:spacing w:after="200" w:line="276" w:lineRule="auto"/>
      <w:ind w:left="720"/>
      <w:contextualSpacing/>
    </w:pPr>
    <w:rPr>
      <w:rFonts w:ascii="Calibri" w:hAnsi="Calibri" w:eastAsia="Times New Roman" w:cs="Times New Roman"/>
      <w:sz w:val="22"/>
      <w:szCs w:val="22"/>
      <w:lang w:eastAsia="en-US"/>
    </w:rPr>
  </w:style>
  <w:style w:type="paragraph" w:styleId="891">
    <w:name w:val="No Spacing"/>
    <w:uiPriority w:val="99"/>
    <w:qFormat/>
    <w:pPr>
      <w:spacing w:after="0" w:line="240" w:lineRule="auto"/>
    </w:pPr>
    <w:rPr>
      <w:rFonts w:ascii="Calibri" w:hAnsi="Calibri" w:eastAsia="Calibri" w:cs="Times New Roman"/>
    </w:rPr>
  </w:style>
  <w:style w:type="paragraph" w:styleId="892">
    <w:name w:val="Title"/>
    <w:basedOn w:val="700"/>
    <w:next w:val="700"/>
    <w:link w:val="893"/>
    <w:uiPriority w:val="10"/>
    <w:qFormat/>
    <w:pPr>
      <w:spacing w:before="240" w:after="60"/>
      <w:jc w:val="center"/>
      <w:outlineLvl w:val="0"/>
    </w:pPr>
    <w:rPr>
      <w:rFonts w:ascii="Cambria" w:hAnsi="Cambria" w:eastAsia="Times New Roman" w:cs="Times New Roman"/>
      <w:b/>
      <w:bCs/>
      <w:sz w:val="32"/>
      <w:szCs w:val="32"/>
    </w:rPr>
  </w:style>
  <w:style w:type="character" w:styleId="893" w:customStyle="1">
    <w:name w:val="Заголовок Знак"/>
    <w:basedOn w:val="710"/>
    <w:link w:val="892"/>
    <w:uiPriority w:val="10"/>
    <w:rPr>
      <w:rFonts w:ascii="Cambria" w:hAnsi="Cambria" w:eastAsia="Times New Roman" w:cs="Times New Roman"/>
      <w:b/>
      <w:bCs/>
      <w:sz w:val="32"/>
      <w:szCs w:val="32"/>
    </w:rPr>
  </w:style>
  <w:style w:type="paragraph" w:styleId="894">
    <w:name w:val="Footer"/>
    <w:basedOn w:val="700"/>
    <w:link w:val="895"/>
    <w:uiPriority w:val="99"/>
    <w:unhideWhenUsed/>
    <w:pPr>
      <w:tabs>
        <w:tab w:val="center" w:pos="4677" w:leader="none"/>
        <w:tab w:val="right" w:pos="9355" w:leader="none"/>
      </w:tabs>
    </w:pPr>
    <w:rPr>
      <w:rFonts w:cs="Times New Roman"/>
    </w:rPr>
  </w:style>
  <w:style w:type="character" w:styleId="895" w:customStyle="1">
    <w:name w:val="Нижний колонтитул Знак"/>
    <w:basedOn w:val="710"/>
    <w:link w:val="894"/>
    <w:uiPriority w:val="99"/>
    <w:rPr>
      <w:rFonts w:ascii="Times New Roman" w:hAnsi="Times New Roman" w:eastAsia="Arial Unicode MS" w:cs="Times New Roman"/>
      <w:sz w:val="24"/>
      <w:szCs w:val="24"/>
    </w:rPr>
  </w:style>
  <w:style w:type="paragraph" w:styleId="896" w:customStyle="1">
    <w:name w:val="Default"/>
    <w:pPr>
      <w:spacing w:after="0" w:line="240" w:lineRule="auto"/>
    </w:pPr>
    <w:rPr>
      <w:rFonts w:ascii="Times New Roman" w:hAnsi="Times New Roman" w:eastAsia="Calibri" w:cs="Times New Roman"/>
      <w:color w:val="000000"/>
      <w:sz w:val="24"/>
      <w:szCs w:val="24"/>
    </w:rPr>
  </w:style>
  <w:style w:type="character" w:styleId="897">
    <w:name w:val="annotation reference"/>
    <w:uiPriority w:val="99"/>
    <w:semiHidden/>
    <w:unhideWhenUsed/>
    <w:rPr>
      <w:sz w:val="16"/>
      <w:szCs w:val="16"/>
    </w:rPr>
  </w:style>
  <w:style w:type="paragraph" w:styleId="898">
    <w:name w:val="annotation text"/>
    <w:basedOn w:val="700"/>
    <w:link w:val="899"/>
    <w:uiPriority w:val="99"/>
    <w:semiHidden/>
    <w:unhideWhenUsed/>
    <w:rPr>
      <w:rFonts w:cs="Times New Roman"/>
      <w:sz w:val="20"/>
      <w:szCs w:val="20"/>
    </w:rPr>
  </w:style>
  <w:style w:type="character" w:styleId="899" w:customStyle="1">
    <w:name w:val="Текст примечания Знак"/>
    <w:basedOn w:val="710"/>
    <w:link w:val="898"/>
    <w:uiPriority w:val="99"/>
    <w:semiHidden/>
    <w:rPr>
      <w:rFonts w:ascii="Times New Roman" w:hAnsi="Times New Roman" w:eastAsia="Arial Unicode MS" w:cs="Times New Roman"/>
      <w:sz w:val="20"/>
      <w:szCs w:val="20"/>
    </w:rPr>
  </w:style>
  <w:style w:type="paragraph" w:styleId="900">
    <w:name w:val="Balloon Text"/>
    <w:basedOn w:val="700"/>
    <w:link w:val="901"/>
    <w:uiPriority w:val="99"/>
    <w:semiHidden/>
    <w:unhideWhenUsed/>
    <w:rPr>
      <w:rFonts w:ascii="Tahoma" w:hAnsi="Tahoma"/>
      <w:sz w:val="16"/>
      <w:szCs w:val="16"/>
    </w:rPr>
  </w:style>
  <w:style w:type="character" w:styleId="901" w:customStyle="1">
    <w:name w:val="Текст выноски Знак"/>
    <w:basedOn w:val="710"/>
    <w:link w:val="900"/>
    <w:uiPriority w:val="99"/>
    <w:semiHidden/>
    <w:rPr>
      <w:rFonts w:ascii="Tahoma" w:hAnsi="Tahoma" w:eastAsia="Arial Unicode MS" w:cs="Tahoma"/>
      <w:sz w:val="16"/>
      <w:szCs w:val="16"/>
      <w:lang w:eastAsia="ru-RU"/>
    </w:rPr>
  </w:style>
  <w:style w:type="paragraph" w:styleId="902">
    <w:name w:val="Revision"/>
    <w:hidden/>
    <w:uiPriority w:val="99"/>
    <w:semiHidden/>
    <w:pPr>
      <w:spacing w:after="0" w:line="240" w:lineRule="auto"/>
    </w:pPr>
    <w:rPr>
      <w:rFonts w:ascii="Times New Roman" w:hAnsi="Times New Roman" w:eastAsia="Arial Unicode MS" w:cs="Tahoma"/>
      <w:sz w:val="24"/>
      <w:szCs w:val="24"/>
      <w:lang w:eastAsia="ru-RU"/>
    </w:rPr>
  </w:style>
  <w:style w:type="paragraph" w:styleId="903">
    <w:name w:val="List Paragraph"/>
    <w:basedOn w:val="700"/>
    <w:link w:val="904"/>
    <w:uiPriority w:val="34"/>
    <w:qFormat/>
    <w:pPr>
      <w:ind w:left="720"/>
      <w:contextualSpacing/>
    </w:pPr>
  </w:style>
  <w:style w:type="character" w:styleId="904" w:customStyle="1">
    <w:name w:val="Абзац списка Знак"/>
    <w:link w:val="903"/>
    <w:uiPriority w:val="34"/>
    <w:qFormat/>
    <w:rPr>
      <w:rFonts w:ascii="Times New Roman" w:hAnsi="Times New Roman" w:eastAsia="Arial Unicode MS" w:cs="Tahoma"/>
      <w:sz w:val="24"/>
      <w:szCs w:val="24"/>
      <w:lang w:eastAsia="ru-RU"/>
    </w:rPr>
  </w:style>
  <w:style w:type="paragraph" w:styleId="905">
    <w:name w:val="annotation subject"/>
    <w:basedOn w:val="898"/>
    <w:next w:val="898"/>
    <w:link w:val="906"/>
    <w:uiPriority w:val="99"/>
    <w:semiHidden/>
    <w:unhideWhenUsed/>
    <w:rPr>
      <w:rFonts w:cs="Tahoma"/>
      <w:b/>
      <w:bCs/>
    </w:rPr>
  </w:style>
  <w:style w:type="character" w:styleId="906" w:customStyle="1">
    <w:name w:val="Тема примечания Знак"/>
    <w:basedOn w:val="899"/>
    <w:link w:val="905"/>
    <w:uiPriority w:val="99"/>
    <w:semiHidden/>
    <w:rPr>
      <w:rFonts w:ascii="Times New Roman" w:hAnsi="Times New Roman" w:eastAsia="Arial Unicode MS" w:cs="Tahoma"/>
      <w:b/>
      <w:bCs/>
      <w:sz w:val="20"/>
      <w:szCs w:val="20"/>
      <w:lang w:eastAsia="ru-RU"/>
    </w:rPr>
  </w:style>
  <w:style w:type="paragraph" w:styleId="907" w:customStyle="1">
    <w:name w:val="Основной текст4"/>
    <w:basedOn w:val="700"/>
    <w:pPr>
      <w:widowControl/>
      <w:shd w:val="clear" w:color="auto" w:fill="ffffff"/>
      <w:spacing w:after="600" w:line="274" w:lineRule="exact"/>
      <w:ind w:hanging="360"/>
    </w:pPr>
    <w:rPr>
      <w:rFonts w:eastAsia="Times New Roman" w:cs="Times New Roman"/>
      <w:color w:val="000000"/>
      <w:sz w:val="23"/>
      <w:szCs w:val="23"/>
    </w:rPr>
  </w:style>
  <w:style w:type="character" w:styleId="908" w:customStyle="1">
    <w:name w:val="Основной текст2"/>
    <w:basedOn w:val="710"/>
    <w:rPr>
      <w:rFonts w:hint="default" w:ascii="Times New Roman" w:hAnsi="Times New Roman" w:cs="Times New Roman"/>
      <w:b w:val="0"/>
      <w:bCs w:val="0"/>
      <w:i w:val="0"/>
      <w:iCs w:val="0"/>
      <w:smallCaps w:val="0"/>
      <w:spacing w:val="0"/>
      <w:u w:val="single"/>
      <w:shd w:val="clear" w:color="auto" w:fill="ffffff"/>
    </w:rPr>
  </w:style>
  <w:style w:type="paragraph" w:styleId="909">
    <w:name w:val="Header"/>
    <w:basedOn w:val="700"/>
    <w:link w:val="910"/>
    <w:uiPriority w:val="99"/>
    <w:unhideWhenUsed/>
    <w:pPr>
      <w:tabs>
        <w:tab w:val="center" w:pos="4677" w:leader="none"/>
        <w:tab w:val="right" w:pos="9355" w:leader="none"/>
      </w:tabs>
    </w:pPr>
  </w:style>
  <w:style w:type="character" w:styleId="910" w:customStyle="1">
    <w:name w:val="Верхний колонтитул Знак"/>
    <w:basedOn w:val="710"/>
    <w:link w:val="909"/>
    <w:uiPriority w:val="99"/>
    <w:rPr>
      <w:rFonts w:ascii="Times New Roman" w:hAnsi="Times New Roman" w:eastAsia="Arial Unicode MS" w:cs="Tahoma"/>
      <w:sz w:val="24"/>
      <w:szCs w:val="24"/>
      <w:lang w:eastAsia="ru-RU"/>
    </w:rPr>
  </w:style>
  <w:style w:type="character" w:styleId="911">
    <w:name w:val="Hyperlink"/>
    <w:basedOn w:val="710"/>
    <w:uiPriority w:val="99"/>
    <w:semiHidden/>
    <w:unhideWhenUsed/>
    <w:rPr>
      <w:color w:val="0000ff"/>
      <w:u w:val="single"/>
    </w:rPr>
  </w:style>
  <w:style w:type="character" w:styleId="912" w:customStyle="1">
    <w:name w:val="Font Style66"/>
    <w:uiPriority w:val="99"/>
    <w:rPr>
      <w:rFonts w:hint="default" w:ascii="Times New Roman" w:hAnsi="Times New Roman" w:cs="Times New Roman"/>
      <w:color w:val="000000"/>
      <w:sz w:val="24"/>
      <w:szCs w:val="24"/>
    </w:rPr>
  </w:style>
  <w:style w:type="paragraph" w:styleId="913" w:customStyle="1">
    <w:name w:val="docdata"/>
    <w:basedOn w:val="700"/>
    <w:pPr>
      <w:widowControl/>
      <w:spacing w:before="100" w:beforeAutospacing="1" w:after="100" w:afterAutospacing="1"/>
    </w:pPr>
    <w:rPr>
      <w:rFonts w:eastAsia="Times New Roman" w:cs="Times New Roman"/>
    </w:rPr>
  </w:style>
  <w:style w:type="paragraph" w:styleId="914">
    <w:name w:val="Normal (Web)"/>
    <w:basedOn w:val="700"/>
    <w:uiPriority w:val="99"/>
    <w:semiHidden/>
    <w:unhideWhenUsed/>
    <w:pPr>
      <w:widowControl/>
      <w:spacing w:before="100" w:beforeAutospacing="1" w:after="100" w:afterAutospacing="1"/>
    </w:pPr>
    <w:rPr>
      <w:rFonts w:eastAsia="Times New Roman" w:cs="Times New Roman"/>
    </w:rPr>
  </w:style>
  <w:style w:type="character" w:styleId="915" w:customStyle="1">
    <w:name w:val="1246"/>
    <w:basedOn w:val="710"/>
  </w:style>
  <w:style w:type="character" w:styleId="916" w:customStyle="1">
    <w:name w:val="2675"/>
    <w:basedOn w:val="710"/>
  </w:style>
  <w:style w:type="paragraph" w:styleId="917" w:customStyle="1">
    <w:name w:val="default_mr_css_attr"/>
    <w:basedOn w:val="700"/>
    <w:pPr>
      <w:widowControl/>
      <w:spacing w:before="100" w:beforeAutospacing="1" w:after="100" w:afterAutospacing="1"/>
    </w:pPr>
    <w:rPr>
      <w:rFonts w:eastAsia="Times New Roman" w:cs="Times New Roman"/>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Р7-Офис/2024.4.2.721</Application>
  <Company>MOESK</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Волкова Ирина Владимировна</dc:creator>
  <cp:lastModifiedBy>saharnayaaf</cp:lastModifiedBy>
  <cp:revision>15</cp:revision>
  <dcterms:created xsi:type="dcterms:W3CDTF">2025-01-20T11:12:00Z</dcterms:created>
  <dcterms:modified xsi:type="dcterms:W3CDTF">2025-04-04T08:02:10Z</dcterms:modified>
</cp:coreProperties>
</file>